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420" w:leftChars="200"/>
        <w:jc w:val="center"/>
        <w:rPr>
          <w:b/>
          <w:sz w:val="32"/>
          <w:szCs w:val="32"/>
        </w:rPr>
      </w:pPr>
      <w:r>
        <w:rPr>
          <w:rFonts w:hint="eastAsia"/>
          <w:b/>
          <w:sz w:val="32"/>
          <w:szCs w:val="32"/>
        </w:rPr>
        <w:t>关于组织参加南京财经大学中华经典美文诵读大赛的通知</w:t>
      </w:r>
    </w:p>
    <w:p>
      <w:pPr>
        <w:spacing w:line="520" w:lineRule="exact"/>
        <w:ind w:left="420" w:leftChars="200"/>
        <w:jc w:val="center"/>
        <w:rPr>
          <w:b/>
          <w:sz w:val="32"/>
          <w:szCs w:val="32"/>
        </w:rPr>
      </w:pPr>
    </w:p>
    <w:p>
      <w:pPr>
        <w:spacing w:line="520" w:lineRule="exact"/>
        <w:rPr>
          <w:sz w:val="28"/>
          <w:szCs w:val="28"/>
        </w:rPr>
      </w:pPr>
      <w:bookmarkStart w:id="0" w:name="_GoBack"/>
      <w:r>
        <w:rPr>
          <w:rFonts w:hint="eastAsia"/>
          <w:sz w:val="28"/>
          <w:szCs w:val="28"/>
        </w:rPr>
        <w:t>各班级：</w:t>
      </w:r>
    </w:p>
    <w:p>
      <w:pPr>
        <w:spacing w:line="520" w:lineRule="exact"/>
        <w:ind w:firstLine="560" w:firstLineChars="200"/>
        <w:rPr>
          <w:sz w:val="28"/>
          <w:szCs w:val="28"/>
        </w:rPr>
      </w:pPr>
      <w:r>
        <w:rPr>
          <w:rFonts w:hint="eastAsia"/>
          <w:sz w:val="28"/>
          <w:szCs w:val="28"/>
        </w:rPr>
        <w:t>根据南京财经大学图书馆、党委宣传部、团委通知要求，将组织我院学生参加由南京财经大学图书馆、党委宣传部、团委联合举办大学生中华经典美文诵读（以下简称“大赛”），为确保活动有序高效开展，现将有关事项通知如下：</w:t>
      </w:r>
    </w:p>
    <w:p>
      <w:pPr>
        <w:spacing w:line="520" w:lineRule="exact"/>
        <w:ind w:firstLine="560" w:firstLineChars="200"/>
        <w:rPr>
          <w:sz w:val="28"/>
          <w:szCs w:val="28"/>
        </w:rPr>
      </w:pPr>
      <w:r>
        <w:rPr>
          <w:rFonts w:hint="eastAsia"/>
          <w:sz w:val="28"/>
          <w:szCs w:val="28"/>
        </w:rPr>
        <w:t>一、大赛主题</w:t>
      </w:r>
    </w:p>
    <w:p>
      <w:pPr>
        <w:spacing w:line="520" w:lineRule="exact"/>
        <w:ind w:firstLine="560" w:firstLineChars="200"/>
        <w:rPr>
          <w:sz w:val="28"/>
          <w:szCs w:val="28"/>
        </w:rPr>
      </w:pPr>
      <w:r>
        <w:rPr>
          <w:rFonts w:hint="eastAsia"/>
          <w:sz w:val="28"/>
          <w:szCs w:val="28"/>
        </w:rPr>
        <w:t>诵读中华经典，弘扬优秀文化</w:t>
      </w:r>
    </w:p>
    <w:p>
      <w:pPr>
        <w:spacing w:line="520" w:lineRule="exact"/>
        <w:ind w:firstLine="560" w:firstLineChars="200"/>
        <w:rPr>
          <w:sz w:val="28"/>
          <w:szCs w:val="28"/>
        </w:rPr>
      </w:pPr>
      <w:r>
        <w:rPr>
          <w:rFonts w:hint="eastAsia"/>
          <w:sz w:val="28"/>
          <w:szCs w:val="28"/>
        </w:rPr>
        <w:t>二、参赛对象</w:t>
      </w:r>
    </w:p>
    <w:p>
      <w:pPr>
        <w:spacing w:line="520" w:lineRule="exact"/>
        <w:ind w:firstLine="560" w:firstLineChars="200"/>
        <w:rPr>
          <w:sz w:val="28"/>
          <w:szCs w:val="28"/>
        </w:rPr>
      </w:pPr>
      <w:r>
        <w:rPr>
          <w:rFonts w:hint="eastAsia"/>
          <w:sz w:val="28"/>
          <w:szCs w:val="28"/>
        </w:rPr>
        <w:t>南京财经大学红山学院在校本科生。</w:t>
      </w:r>
    </w:p>
    <w:p>
      <w:pPr>
        <w:spacing w:line="520" w:lineRule="exact"/>
        <w:ind w:firstLine="560" w:firstLineChars="200"/>
        <w:rPr>
          <w:sz w:val="28"/>
          <w:szCs w:val="28"/>
        </w:rPr>
      </w:pPr>
      <w:r>
        <w:rPr>
          <w:rFonts w:hint="eastAsia"/>
          <w:sz w:val="28"/>
          <w:szCs w:val="28"/>
        </w:rPr>
        <w:t>三、参赛要求</w:t>
      </w:r>
    </w:p>
    <w:p>
      <w:pPr>
        <w:spacing w:line="520" w:lineRule="exact"/>
        <w:ind w:firstLine="560" w:firstLineChars="200"/>
        <w:rPr>
          <w:sz w:val="28"/>
          <w:szCs w:val="28"/>
        </w:rPr>
      </w:pPr>
      <w:r>
        <w:rPr>
          <w:rFonts w:hint="eastAsia"/>
          <w:sz w:val="28"/>
          <w:szCs w:val="28"/>
        </w:rPr>
        <w:t xml:space="preserve">（1）诵读题材以中华经典美文为主，体裁不限（包括中国经典的古今名家名篇，诗、词、赋、骈文、散文、小说等），内容要兼具思想性、文化性、艺术性，弘扬中华优秀传统文化； </w:t>
      </w:r>
    </w:p>
    <w:p>
      <w:pPr>
        <w:spacing w:line="520" w:lineRule="exact"/>
        <w:ind w:firstLine="560" w:firstLineChars="200"/>
        <w:rPr>
          <w:sz w:val="28"/>
          <w:szCs w:val="28"/>
        </w:rPr>
      </w:pPr>
      <w:r>
        <w:rPr>
          <w:rFonts w:hint="eastAsia"/>
          <w:sz w:val="28"/>
          <w:szCs w:val="28"/>
        </w:rPr>
        <w:t>（2）比赛采取单人或双人组合诵读的形式，作品总时长不超过5分钟。</w:t>
      </w:r>
    </w:p>
    <w:p>
      <w:pPr>
        <w:spacing w:line="520" w:lineRule="exact"/>
        <w:ind w:firstLine="560" w:firstLineChars="200"/>
        <w:rPr>
          <w:sz w:val="28"/>
          <w:szCs w:val="28"/>
        </w:rPr>
      </w:pPr>
      <w:r>
        <w:rPr>
          <w:rFonts w:hint="eastAsia"/>
          <w:sz w:val="28"/>
          <w:szCs w:val="28"/>
        </w:rPr>
        <w:t>四、大赛程序</w:t>
      </w:r>
    </w:p>
    <w:p>
      <w:pPr>
        <w:spacing w:line="520" w:lineRule="exact"/>
        <w:ind w:firstLine="560" w:firstLineChars="200"/>
        <w:rPr>
          <w:sz w:val="28"/>
          <w:szCs w:val="28"/>
        </w:rPr>
      </w:pPr>
      <w:r>
        <w:rPr>
          <w:rFonts w:hint="eastAsia"/>
          <w:sz w:val="28"/>
          <w:szCs w:val="28"/>
        </w:rPr>
        <w:t>（1）红山学院预选赛：2018年4月10日晚16:30-18:50，南京财经大学红山学院桥头校区，具体地点另行通知。</w:t>
      </w:r>
    </w:p>
    <w:p>
      <w:pPr>
        <w:spacing w:line="520" w:lineRule="exact"/>
        <w:ind w:firstLine="560" w:firstLineChars="200"/>
        <w:rPr>
          <w:sz w:val="28"/>
          <w:szCs w:val="28"/>
        </w:rPr>
      </w:pPr>
      <w:r>
        <w:rPr>
          <w:rFonts w:hint="eastAsia"/>
          <w:sz w:val="28"/>
          <w:szCs w:val="28"/>
        </w:rPr>
        <w:t>（2）初赛：2018年4月15日晚18:30-21:00，南京财经大学仙林校区，具体教室另行通知。</w:t>
      </w:r>
    </w:p>
    <w:p>
      <w:pPr>
        <w:spacing w:line="520" w:lineRule="exact"/>
        <w:ind w:firstLine="560" w:firstLineChars="200"/>
        <w:rPr>
          <w:sz w:val="28"/>
          <w:szCs w:val="28"/>
        </w:rPr>
      </w:pPr>
      <w:r>
        <w:rPr>
          <w:rFonts w:hint="eastAsia"/>
          <w:sz w:val="28"/>
          <w:szCs w:val="28"/>
        </w:rPr>
        <w:t>（3）复赛：2018年4月18日晚18:30-20:30，南京财经大学图书馆音乐鉴赏厅。</w:t>
      </w:r>
    </w:p>
    <w:p>
      <w:pPr>
        <w:spacing w:line="520" w:lineRule="exact"/>
        <w:ind w:firstLine="560" w:firstLineChars="200"/>
        <w:rPr>
          <w:sz w:val="28"/>
          <w:szCs w:val="28"/>
        </w:rPr>
      </w:pPr>
      <w:r>
        <w:rPr>
          <w:rFonts w:hint="eastAsia"/>
          <w:sz w:val="28"/>
          <w:szCs w:val="28"/>
        </w:rPr>
        <w:t>（4）决赛：2018年4月23日晚18:30-20:30，南京财经大学图书馆音乐鉴赏厅。</w:t>
      </w:r>
    </w:p>
    <w:p>
      <w:pPr>
        <w:spacing w:line="520" w:lineRule="exact"/>
        <w:ind w:firstLine="560" w:firstLineChars="200"/>
        <w:rPr>
          <w:sz w:val="28"/>
          <w:szCs w:val="28"/>
        </w:rPr>
      </w:pPr>
      <w:r>
        <w:rPr>
          <w:rFonts w:hint="eastAsia"/>
          <w:sz w:val="28"/>
          <w:szCs w:val="28"/>
        </w:rPr>
        <w:t>（5））优秀作品将入围参加全国大赛：2018年5月1日-5月20日。</w:t>
      </w:r>
    </w:p>
    <w:p>
      <w:pPr>
        <w:spacing w:line="520" w:lineRule="exact"/>
        <w:ind w:firstLine="560" w:firstLineChars="200"/>
        <w:rPr>
          <w:sz w:val="28"/>
          <w:szCs w:val="28"/>
        </w:rPr>
      </w:pPr>
      <w:r>
        <w:rPr>
          <w:rFonts w:hint="eastAsia"/>
          <w:sz w:val="28"/>
          <w:szCs w:val="28"/>
        </w:rPr>
        <w:t>五、奖项设置</w:t>
      </w:r>
    </w:p>
    <w:p>
      <w:pPr>
        <w:spacing w:line="520" w:lineRule="exact"/>
        <w:ind w:firstLine="560" w:firstLineChars="200"/>
        <w:rPr>
          <w:sz w:val="28"/>
          <w:szCs w:val="28"/>
        </w:rPr>
      </w:pPr>
      <w:r>
        <w:rPr>
          <w:rFonts w:hint="eastAsia"/>
          <w:sz w:val="28"/>
          <w:szCs w:val="28"/>
        </w:rPr>
        <w:t>一等奖1名、二等奖2名、三等奖9名。大赛组委会将对一、二等奖获得者录制参赛视频，并代表南京财经大学参加中国图书馆学会阅读推广委员会大学生阅读推广专业委员会举办的“全国大学生中华经典美文诵读大赛”，以及2018年江苏省大学生诗词展演活动。</w:t>
      </w:r>
    </w:p>
    <w:p>
      <w:pPr>
        <w:spacing w:line="520" w:lineRule="exact"/>
        <w:ind w:firstLine="560" w:firstLineChars="200"/>
        <w:rPr>
          <w:sz w:val="28"/>
          <w:szCs w:val="28"/>
        </w:rPr>
      </w:pPr>
      <w:r>
        <w:rPr>
          <w:rFonts w:hint="eastAsia"/>
          <w:sz w:val="28"/>
          <w:szCs w:val="28"/>
        </w:rPr>
        <w:t>六、报名方式</w:t>
      </w:r>
    </w:p>
    <w:p>
      <w:pPr>
        <w:spacing w:line="520" w:lineRule="exact"/>
        <w:ind w:firstLine="560" w:firstLineChars="200"/>
        <w:rPr>
          <w:sz w:val="28"/>
          <w:szCs w:val="28"/>
        </w:rPr>
      </w:pPr>
      <w:r>
        <w:rPr>
          <w:rFonts w:hint="eastAsia"/>
          <w:sz w:val="28"/>
          <w:szCs w:val="28"/>
        </w:rPr>
        <w:t>请将参赛信息表（见附件）于2018年4月7日17:00前发送至团委潘怡老师QQ邮箱：358132540@qq.com，并加入比赛QQ群：389919647。</w:t>
      </w:r>
    </w:p>
    <w:p>
      <w:pPr>
        <w:spacing w:line="520" w:lineRule="exact"/>
        <w:ind w:firstLine="560" w:firstLineChars="200"/>
        <w:rPr>
          <w:sz w:val="28"/>
          <w:szCs w:val="28"/>
        </w:rPr>
      </w:pPr>
    </w:p>
    <w:p>
      <w:pPr>
        <w:spacing w:line="520" w:lineRule="exact"/>
        <w:rPr>
          <w:sz w:val="28"/>
          <w:szCs w:val="28"/>
        </w:rPr>
      </w:pPr>
      <w:r>
        <w:rPr>
          <w:rFonts w:hint="eastAsia"/>
          <w:sz w:val="28"/>
          <w:szCs w:val="28"/>
        </w:rPr>
        <w:t>附件：南京财经大学中华经典美文诵读大赛参赛信息表。</w:t>
      </w:r>
    </w:p>
    <w:p/>
    <w:p>
      <w:pPr>
        <w:jc w:val="right"/>
        <w:rPr>
          <w:rFonts w:asciiTheme="minorEastAsia" w:hAnsiTheme="minorEastAsia" w:eastAsiaTheme="minorEastAsia"/>
          <w:sz w:val="28"/>
          <w:szCs w:val="28"/>
        </w:rPr>
      </w:pPr>
      <w:r>
        <w:rPr>
          <w:rFonts w:hint="eastAsia" w:asciiTheme="minorEastAsia" w:hAnsiTheme="minorEastAsia" w:eastAsiaTheme="minorEastAsia"/>
          <w:sz w:val="28"/>
          <w:szCs w:val="28"/>
        </w:rPr>
        <w:t>共青团南京财经大学红山学院委员会</w:t>
      </w:r>
    </w:p>
    <w:p>
      <w:pPr>
        <w:wordWrap w:val="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2018年3月30日    </w:t>
      </w:r>
    </w:p>
    <w:p>
      <w:pPr>
        <w:spacing w:line="540" w:lineRule="exact"/>
        <w:ind w:right="1260"/>
        <w:jc w:val="left"/>
        <w:rPr>
          <w:rFonts w:ascii="黑体" w:hAnsi="黑体" w:eastAsia="黑体" w:cs="黑体"/>
          <w:color w:val="000000"/>
          <w:sz w:val="32"/>
          <w:szCs w:val="32"/>
        </w:rPr>
      </w:pPr>
    </w:p>
    <w:p>
      <w:pPr>
        <w:spacing w:line="540" w:lineRule="exact"/>
        <w:ind w:right="1260"/>
        <w:jc w:val="left"/>
        <w:rPr>
          <w:rFonts w:ascii="黑体" w:hAnsi="黑体" w:eastAsia="黑体" w:cs="黑体"/>
          <w:color w:val="000000"/>
          <w:sz w:val="32"/>
          <w:szCs w:val="32"/>
        </w:rPr>
      </w:pPr>
    </w:p>
    <w:bookmarkEnd w:id="0"/>
    <w:p>
      <w:pPr>
        <w:spacing w:line="540" w:lineRule="exact"/>
        <w:ind w:right="1260"/>
        <w:jc w:val="left"/>
        <w:rPr>
          <w:rFonts w:ascii="黑体" w:hAnsi="黑体" w:eastAsia="黑体" w:cs="黑体"/>
          <w:color w:val="000000"/>
          <w:sz w:val="32"/>
          <w:szCs w:val="32"/>
        </w:rPr>
      </w:pPr>
    </w:p>
    <w:p>
      <w:pPr>
        <w:spacing w:line="540" w:lineRule="exact"/>
        <w:ind w:right="1260"/>
        <w:jc w:val="left"/>
        <w:rPr>
          <w:rFonts w:ascii="黑体" w:hAnsi="黑体" w:eastAsia="黑体" w:cs="黑体"/>
          <w:color w:val="000000"/>
          <w:sz w:val="32"/>
          <w:szCs w:val="32"/>
        </w:rPr>
      </w:pPr>
    </w:p>
    <w:p>
      <w:pPr>
        <w:spacing w:line="540" w:lineRule="exact"/>
        <w:ind w:right="1260"/>
        <w:jc w:val="left"/>
        <w:rPr>
          <w:rFonts w:ascii="黑体" w:hAnsi="黑体" w:eastAsia="黑体" w:cs="黑体"/>
          <w:color w:val="000000"/>
          <w:sz w:val="32"/>
          <w:szCs w:val="32"/>
        </w:rPr>
      </w:pPr>
    </w:p>
    <w:p>
      <w:pPr>
        <w:spacing w:line="540" w:lineRule="exact"/>
        <w:ind w:right="1260"/>
        <w:jc w:val="left"/>
        <w:rPr>
          <w:rFonts w:ascii="黑体" w:hAnsi="黑体" w:eastAsia="黑体" w:cs="黑体"/>
          <w:color w:val="000000"/>
          <w:sz w:val="32"/>
          <w:szCs w:val="32"/>
        </w:rPr>
      </w:pPr>
    </w:p>
    <w:p>
      <w:pPr>
        <w:spacing w:line="540" w:lineRule="exact"/>
        <w:ind w:right="1260"/>
        <w:jc w:val="left"/>
        <w:rPr>
          <w:rFonts w:ascii="黑体" w:hAnsi="黑体" w:eastAsia="黑体" w:cs="黑体"/>
          <w:color w:val="000000"/>
          <w:sz w:val="32"/>
          <w:szCs w:val="32"/>
        </w:rPr>
      </w:pPr>
    </w:p>
    <w:p>
      <w:pPr>
        <w:spacing w:line="540" w:lineRule="exact"/>
        <w:ind w:right="1260"/>
        <w:jc w:val="left"/>
        <w:rPr>
          <w:rFonts w:ascii="黑体" w:hAnsi="黑体" w:eastAsia="黑体" w:cs="黑体"/>
          <w:color w:val="000000"/>
          <w:sz w:val="32"/>
          <w:szCs w:val="32"/>
        </w:rPr>
      </w:pPr>
    </w:p>
    <w:p>
      <w:pPr>
        <w:spacing w:line="540" w:lineRule="exact"/>
        <w:ind w:right="1260"/>
        <w:jc w:val="left"/>
        <w:rPr>
          <w:rFonts w:ascii="黑体" w:hAnsi="黑体" w:eastAsia="黑体" w:cs="黑体"/>
          <w:color w:val="000000"/>
          <w:sz w:val="32"/>
          <w:szCs w:val="32"/>
        </w:rPr>
      </w:pPr>
      <w:r>
        <w:rPr>
          <w:rFonts w:hint="eastAsia" w:ascii="黑体" w:hAnsi="黑体" w:eastAsia="黑体" w:cs="黑体"/>
          <w:color w:val="000000"/>
          <w:sz w:val="32"/>
          <w:szCs w:val="32"/>
        </w:rPr>
        <w:t>附件：</w:t>
      </w:r>
    </w:p>
    <w:p>
      <w:pPr>
        <w:adjustRightInd w:val="0"/>
        <w:snapToGrid w:val="0"/>
        <w:spacing w:line="540" w:lineRule="exact"/>
        <w:jc w:val="center"/>
        <w:rPr>
          <w:rFonts w:ascii="黑体" w:hAnsi="黑体" w:eastAsia="黑体" w:cs="黑体"/>
          <w:color w:val="000000"/>
          <w:sz w:val="32"/>
          <w:szCs w:val="32"/>
        </w:rPr>
      </w:pPr>
      <w:r>
        <w:rPr>
          <w:rFonts w:hint="eastAsia" w:ascii="黑体" w:hAnsi="黑体" w:eastAsia="黑体"/>
          <w:sz w:val="36"/>
          <w:szCs w:val="36"/>
        </w:rPr>
        <w:t>南京财经大学</w:t>
      </w:r>
      <w:r>
        <w:rPr>
          <w:rFonts w:ascii="黑体" w:hAnsi="黑体" w:eastAsia="黑体"/>
          <w:sz w:val="36"/>
          <w:szCs w:val="36"/>
        </w:rPr>
        <w:t>中华经典美文诵读大赛</w:t>
      </w:r>
      <w:r>
        <w:rPr>
          <w:rFonts w:hint="eastAsia" w:ascii="黑体" w:hAnsi="黑体" w:eastAsia="黑体"/>
          <w:sz w:val="36"/>
          <w:szCs w:val="36"/>
        </w:rPr>
        <w:t>参赛信息表</w:t>
      </w:r>
    </w:p>
    <w:p>
      <w:pPr>
        <w:widowControl/>
        <w:jc w:val="left"/>
        <w:rPr>
          <w:rFonts w:ascii="宋体" w:hAnsi="宋体" w:cs="宋体"/>
          <w:kern w:val="0"/>
          <w:sz w:val="24"/>
        </w:rPr>
      </w:pPr>
    </w:p>
    <w:tbl>
      <w:tblPr>
        <w:tblStyle w:val="7"/>
        <w:tblW w:w="9053" w:type="dxa"/>
        <w:tblInd w:w="0" w:type="dxa"/>
        <w:tblLayout w:type="fixed"/>
        <w:tblCellMar>
          <w:top w:w="15" w:type="dxa"/>
          <w:left w:w="15" w:type="dxa"/>
          <w:bottom w:w="15" w:type="dxa"/>
          <w:right w:w="15" w:type="dxa"/>
        </w:tblCellMar>
      </w:tblPr>
      <w:tblGrid>
        <w:gridCol w:w="1756"/>
        <w:gridCol w:w="2467"/>
        <w:gridCol w:w="1538"/>
        <w:gridCol w:w="3292"/>
      </w:tblGrid>
      <w:tr>
        <w:tblPrEx>
          <w:tblLayout w:type="fixed"/>
          <w:tblCellMar>
            <w:top w:w="15" w:type="dxa"/>
            <w:left w:w="15" w:type="dxa"/>
            <w:bottom w:w="15" w:type="dxa"/>
            <w:right w:w="15" w:type="dxa"/>
          </w:tblCellMar>
        </w:tblPrEx>
        <w:trPr>
          <w:trHeight w:val="1214" w:hRule="exact"/>
        </w:trPr>
        <w:tc>
          <w:tcPr>
            <w:tcW w:w="17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_GB2312" w:cs="仿宋"/>
                <w:color w:val="000000"/>
                <w:sz w:val="24"/>
              </w:rPr>
            </w:pPr>
            <w:r>
              <w:rPr>
                <w:rFonts w:hint="eastAsia" w:ascii="仿宋" w:hAnsi="仿宋" w:eastAsia="仿宋_GB2312" w:cs="仿宋"/>
                <w:color w:val="000000"/>
                <w:kern w:val="0"/>
                <w:sz w:val="24"/>
              </w:rPr>
              <w:t>参赛选手</w:t>
            </w:r>
            <w:r>
              <w:rPr>
                <w:rFonts w:ascii="仿宋" w:hAnsi="仿宋" w:eastAsia="仿宋_GB2312" w:cs="仿宋"/>
                <w:color w:val="000000"/>
                <w:kern w:val="0"/>
                <w:sz w:val="24"/>
              </w:rPr>
              <w:br w:type="textWrapping"/>
            </w:r>
            <w:r>
              <w:rPr>
                <w:rFonts w:hint="eastAsia" w:ascii="仿宋" w:hAnsi="仿宋" w:eastAsia="仿宋_GB2312" w:cs="仿宋"/>
                <w:color w:val="000000"/>
                <w:kern w:val="0"/>
                <w:sz w:val="24"/>
              </w:rPr>
              <w:t>（最多2人）</w:t>
            </w:r>
          </w:p>
        </w:tc>
        <w:tc>
          <w:tcPr>
            <w:tcW w:w="24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_GB2312" w:cs="仿宋"/>
                <w:color w:val="000000"/>
                <w:sz w:val="24"/>
              </w:rPr>
            </w:pP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_GB2312" w:cs="仿宋"/>
                <w:color w:val="000000"/>
                <w:sz w:val="24"/>
              </w:rPr>
            </w:pPr>
            <w:r>
              <w:rPr>
                <w:rFonts w:hint="eastAsia" w:ascii="仿宋" w:hAnsi="仿宋" w:eastAsia="仿宋_GB2312" w:cs="仿宋"/>
                <w:color w:val="000000"/>
                <w:sz w:val="24"/>
              </w:rPr>
              <w:t>院系专业</w:t>
            </w:r>
          </w:p>
        </w:tc>
        <w:tc>
          <w:tcPr>
            <w:tcW w:w="32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_GB2312" w:cs="仿宋"/>
                <w:color w:val="000000"/>
                <w:sz w:val="24"/>
              </w:rPr>
            </w:pPr>
          </w:p>
        </w:tc>
      </w:tr>
      <w:tr>
        <w:tblPrEx>
          <w:tblLayout w:type="fixed"/>
          <w:tblCellMar>
            <w:top w:w="15" w:type="dxa"/>
            <w:left w:w="15" w:type="dxa"/>
            <w:bottom w:w="15" w:type="dxa"/>
            <w:right w:w="15" w:type="dxa"/>
          </w:tblCellMar>
        </w:tblPrEx>
        <w:trPr>
          <w:trHeight w:val="833" w:hRule="exact"/>
        </w:trPr>
        <w:tc>
          <w:tcPr>
            <w:tcW w:w="17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_GB2312" w:cs="仿宋"/>
                <w:color w:val="000000"/>
                <w:sz w:val="24"/>
              </w:rPr>
            </w:pPr>
            <w:r>
              <w:rPr>
                <w:rFonts w:hint="eastAsia" w:ascii="仿宋" w:hAnsi="仿宋" w:eastAsia="仿宋_GB2312" w:cs="仿宋"/>
                <w:color w:val="000000"/>
                <w:kern w:val="0"/>
                <w:sz w:val="24"/>
              </w:rPr>
              <w:t>联系电话</w:t>
            </w:r>
          </w:p>
        </w:tc>
        <w:tc>
          <w:tcPr>
            <w:tcW w:w="24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_GB2312" w:cs="仿宋"/>
                <w:color w:val="000000"/>
                <w:sz w:val="24"/>
              </w:rPr>
            </w:pP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_GB2312" w:cs="仿宋"/>
                <w:color w:val="000000"/>
                <w:sz w:val="24"/>
              </w:rPr>
            </w:pPr>
            <w:r>
              <w:rPr>
                <w:rFonts w:hint="eastAsia" w:ascii="仿宋" w:hAnsi="仿宋" w:eastAsia="仿宋_GB2312" w:cs="仿宋"/>
                <w:color w:val="000000"/>
                <w:kern w:val="0"/>
                <w:sz w:val="24"/>
              </w:rPr>
              <w:t>联系邮箱</w:t>
            </w:r>
          </w:p>
        </w:tc>
        <w:tc>
          <w:tcPr>
            <w:tcW w:w="32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_GB2312" w:cs="仿宋"/>
                <w:color w:val="000000"/>
                <w:sz w:val="24"/>
              </w:rPr>
            </w:pPr>
          </w:p>
        </w:tc>
      </w:tr>
      <w:tr>
        <w:tblPrEx>
          <w:tblLayout w:type="fixed"/>
          <w:tblCellMar>
            <w:top w:w="15" w:type="dxa"/>
            <w:left w:w="15" w:type="dxa"/>
            <w:bottom w:w="15" w:type="dxa"/>
            <w:right w:w="15" w:type="dxa"/>
          </w:tblCellMar>
        </w:tblPrEx>
        <w:trPr>
          <w:trHeight w:val="818" w:hRule="exact"/>
        </w:trPr>
        <w:tc>
          <w:tcPr>
            <w:tcW w:w="17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_GB2312" w:cs="仿宋"/>
                <w:color w:val="000000"/>
                <w:kern w:val="0"/>
                <w:sz w:val="24"/>
              </w:rPr>
            </w:pPr>
            <w:r>
              <w:rPr>
                <w:rFonts w:hint="eastAsia" w:ascii="仿宋" w:hAnsi="仿宋" w:eastAsia="仿宋_GB2312" w:cs="仿宋"/>
                <w:color w:val="000000"/>
                <w:kern w:val="0"/>
                <w:sz w:val="24"/>
              </w:rPr>
              <w:t>朗诵作品名称</w:t>
            </w:r>
          </w:p>
        </w:tc>
        <w:tc>
          <w:tcPr>
            <w:tcW w:w="729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_GB2312" w:cs="仿宋"/>
                <w:color w:val="000000"/>
                <w:sz w:val="24"/>
              </w:rPr>
            </w:pPr>
          </w:p>
        </w:tc>
      </w:tr>
      <w:tr>
        <w:tblPrEx>
          <w:tblLayout w:type="fixed"/>
          <w:tblCellMar>
            <w:top w:w="15" w:type="dxa"/>
            <w:left w:w="15" w:type="dxa"/>
            <w:bottom w:w="15" w:type="dxa"/>
            <w:right w:w="15" w:type="dxa"/>
          </w:tblCellMar>
        </w:tblPrEx>
        <w:trPr>
          <w:trHeight w:val="6925" w:hRule="exact"/>
        </w:trPr>
        <w:tc>
          <w:tcPr>
            <w:tcW w:w="17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_GB2312" w:cs="仿宋"/>
                <w:color w:val="000000"/>
                <w:kern w:val="0"/>
                <w:sz w:val="24"/>
              </w:rPr>
            </w:pPr>
            <w:r>
              <w:rPr>
                <w:rFonts w:hint="eastAsia" w:ascii="仿宋" w:hAnsi="仿宋" w:eastAsia="仿宋_GB2312" w:cs="仿宋"/>
                <w:color w:val="000000"/>
                <w:kern w:val="0"/>
                <w:sz w:val="24"/>
              </w:rPr>
              <w:t>朗诵作品全文</w:t>
            </w:r>
          </w:p>
        </w:tc>
        <w:tc>
          <w:tcPr>
            <w:tcW w:w="729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_GB2312" w:cs="仿宋"/>
                <w:color w:val="000000"/>
                <w:sz w:val="24"/>
              </w:rPr>
            </w:pPr>
          </w:p>
          <w:p>
            <w:pPr>
              <w:jc w:val="center"/>
              <w:rPr>
                <w:rFonts w:ascii="仿宋" w:hAnsi="仿宋" w:eastAsia="仿宋_GB2312" w:cs="仿宋"/>
                <w:color w:val="000000"/>
                <w:sz w:val="24"/>
              </w:rPr>
            </w:pPr>
          </w:p>
          <w:p>
            <w:pPr>
              <w:jc w:val="center"/>
              <w:rPr>
                <w:rFonts w:ascii="仿宋" w:hAnsi="仿宋" w:eastAsia="仿宋_GB2312" w:cs="仿宋"/>
                <w:color w:val="000000"/>
                <w:sz w:val="24"/>
              </w:rPr>
            </w:pPr>
          </w:p>
          <w:p>
            <w:pPr>
              <w:jc w:val="center"/>
              <w:rPr>
                <w:rFonts w:ascii="仿宋" w:hAnsi="仿宋" w:eastAsia="仿宋_GB2312" w:cs="仿宋"/>
                <w:color w:val="000000"/>
                <w:sz w:val="24"/>
              </w:rPr>
            </w:pPr>
          </w:p>
        </w:tc>
      </w:tr>
    </w:tbl>
    <w:p>
      <w:pPr>
        <w:rPr>
          <w:sz w:val="32"/>
          <w:szCs w:val="32"/>
        </w:rPr>
      </w:pP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4C6"/>
    <w:rsid w:val="000514A5"/>
    <w:rsid w:val="000704A5"/>
    <w:rsid w:val="000B24C6"/>
    <w:rsid w:val="000B264E"/>
    <w:rsid w:val="000D2ED5"/>
    <w:rsid w:val="00116F6A"/>
    <w:rsid w:val="00137131"/>
    <w:rsid w:val="00194747"/>
    <w:rsid w:val="00200857"/>
    <w:rsid w:val="002112BC"/>
    <w:rsid w:val="0022383D"/>
    <w:rsid w:val="00286E31"/>
    <w:rsid w:val="00324774"/>
    <w:rsid w:val="00355D89"/>
    <w:rsid w:val="003B7E57"/>
    <w:rsid w:val="003C2423"/>
    <w:rsid w:val="003D2D1F"/>
    <w:rsid w:val="003F43FB"/>
    <w:rsid w:val="0040736D"/>
    <w:rsid w:val="00413F86"/>
    <w:rsid w:val="00443329"/>
    <w:rsid w:val="004468A6"/>
    <w:rsid w:val="00464705"/>
    <w:rsid w:val="004B4F36"/>
    <w:rsid w:val="004C3231"/>
    <w:rsid w:val="004E0C2B"/>
    <w:rsid w:val="004E5A57"/>
    <w:rsid w:val="004F48A1"/>
    <w:rsid w:val="00550DE3"/>
    <w:rsid w:val="00563F72"/>
    <w:rsid w:val="00583436"/>
    <w:rsid w:val="0059260E"/>
    <w:rsid w:val="00681017"/>
    <w:rsid w:val="006F0ECC"/>
    <w:rsid w:val="0072619F"/>
    <w:rsid w:val="00734EF9"/>
    <w:rsid w:val="007436CA"/>
    <w:rsid w:val="007649F7"/>
    <w:rsid w:val="007A7D52"/>
    <w:rsid w:val="007C1DDA"/>
    <w:rsid w:val="007C518E"/>
    <w:rsid w:val="007D027B"/>
    <w:rsid w:val="007D07BB"/>
    <w:rsid w:val="00803EF6"/>
    <w:rsid w:val="00857B3B"/>
    <w:rsid w:val="008A57BF"/>
    <w:rsid w:val="008E582D"/>
    <w:rsid w:val="00903096"/>
    <w:rsid w:val="009171B4"/>
    <w:rsid w:val="009547B8"/>
    <w:rsid w:val="00982B57"/>
    <w:rsid w:val="009C5A7B"/>
    <w:rsid w:val="009F2407"/>
    <w:rsid w:val="009F60D5"/>
    <w:rsid w:val="00A13766"/>
    <w:rsid w:val="00A80238"/>
    <w:rsid w:val="00A97D64"/>
    <w:rsid w:val="00B9356D"/>
    <w:rsid w:val="00BA132E"/>
    <w:rsid w:val="00BA71EB"/>
    <w:rsid w:val="00BA7C16"/>
    <w:rsid w:val="00BB2C5C"/>
    <w:rsid w:val="00BE4C1B"/>
    <w:rsid w:val="00C519E4"/>
    <w:rsid w:val="00C537B1"/>
    <w:rsid w:val="00C963EC"/>
    <w:rsid w:val="00CD0047"/>
    <w:rsid w:val="00D15252"/>
    <w:rsid w:val="00D1621D"/>
    <w:rsid w:val="00D17EC0"/>
    <w:rsid w:val="00D306B5"/>
    <w:rsid w:val="00D34144"/>
    <w:rsid w:val="00D42808"/>
    <w:rsid w:val="00D6008B"/>
    <w:rsid w:val="00D73DE6"/>
    <w:rsid w:val="00D931C9"/>
    <w:rsid w:val="00DA71C5"/>
    <w:rsid w:val="00DB4B6F"/>
    <w:rsid w:val="00DF4B40"/>
    <w:rsid w:val="00E90F4E"/>
    <w:rsid w:val="00EF7B0A"/>
    <w:rsid w:val="00F426D7"/>
    <w:rsid w:val="00F456FC"/>
    <w:rsid w:val="00F7286D"/>
    <w:rsid w:val="00FE1A79"/>
    <w:rsid w:val="07D7666F"/>
    <w:rsid w:val="69D70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themeColor="hyperlink"/>
      <w:u w:val="single"/>
      <w14:textFill>
        <w14:solidFill>
          <w14:schemeClr w14:val="hlink"/>
        </w14:solidFill>
      </w14:textFill>
    </w:rPr>
  </w:style>
  <w:style w:type="character" w:customStyle="1" w:styleId="8">
    <w:name w:val="页脚 Char"/>
    <w:link w:val="3"/>
    <w:uiPriority w:val="99"/>
    <w:rPr>
      <w:kern w:val="2"/>
      <w:sz w:val="18"/>
      <w:szCs w:val="18"/>
    </w:rPr>
  </w:style>
  <w:style w:type="character" w:customStyle="1" w:styleId="9">
    <w:name w:val="页眉 Char"/>
    <w:link w:val="4"/>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135</Words>
  <Characters>771</Characters>
  <Lines>6</Lines>
  <Paragraphs>1</Paragraphs>
  <TotalTime>0</TotalTime>
  <ScaleCrop>false</ScaleCrop>
  <LinksUpToDate>false</LinksUpToDate>
  <CharactersWithSpaces>905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2018-03-29T08:25:00Z</dcterms:created>
  <dc:creator>李江波/秘书科/办公室/国家图书馆</dc:creator>
  <cp:lastModifiedBy>南财红山青年</cp:lastModifiedBy>
  <cp:lastPrinted>2018-01-04T07:15:00Z</cp:lastPrinted>
  <dcterms:modified xsi:type="dcterms:W3CDTF">2018-03-30T03:45:37Z</dcterms:modified>
  <dc:title>中国图书馆学会文件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