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95960">
      <w:pPr>
        <w:adjustRightInd w:val="0"/>
        <w:spacing w:before="312" w:beforeLines="100" w:after="312" w:afterLines="100" w:line="360" w:lineRule="auto"/>
        <w:contextualSpacing/>
        <w:jc w:val="center"/>
        <w:rPr>
          <w:rFonts w:hint="eastAsia" w:ascii="宋体" w:hAnsi="宋体"/>
          <w:b/>
          <w:sz w:val="32"/>
          <w:szCs w:val="32"/>
        </w:rPr>
      </w:pPr>
      <w:r>
        <w:rPr>
          <w:rFonts w:hint="eastAsia" w:ascii="宋体" w:hAnsi="宋体"/>
          <w:b/>
          <w:sz w:val="32"/>
          <w:szCs w:val="32"/>
        </w:rPr>
        <w:t>南京财经大学</w:t>
      </w:r>
      <w:r>
        <w:rPr>
          <w:rFonts w:ascii="宋体" w:hAnsi="宋体"/>
          <w:b/>
          <w:sz w:val="32"/>
          <w:szCs w:val="32"/>
        </w:rPr>
        <w:t>红山学</w:t>
      </w:r>
      <w:r>
        <w:rPr>
          <w:rFonts w:hint="eastAsia" w:ascii="宋体" w:hAnsi="宋体"/>
          <w:b/>
          <w:sz w:val="32"/>
          <w:szCs w:val="32"/>
          <w:lang w:val="en-US" w:eastAsia="zh-CN"/>
        </w:rPr>
        <w:t>院体育部会议室家具</w:t>
      </w:r>
      <w:r>
        <w:rPr>
          <w:rFonts w:ascii="宋体" w:hAnsi="宋体"/>
          <w:b/>
          <w:sz w:val="32"/>
          <w:szCs w:val="32"/>
        </w:rPr>
        <w:t>采购</w:t>
      </w:r>
      <w:r>
        <w:rPr>
          <w:rFonts w:hint="eastAsia" w:ascii="宋体" w:hAnsi="宋体"/>
          <w:b/>
          <w:sz w:val="32"/>
          <w:szCs w:val="32"/>
        </w:rPr>
        <w:t>项目询价文件</w:t>
      </w:r>
    </w:p>
    <w:p w14:paraId="72925591">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我</w:t>
      </w:r>
      <w:r>
        <w:rPr>
          <w:rFonts w:hint="eastAsia" w:ascii="宋体" w:hAnsi="宋体"/>
          <w:sz w:val="24"/>
          <w:szCs w:val="24"/>
          <w:lang w:val="en-US" w:eastAsia="zh-CN"/>
        </w:rPr>
        <w:t>校体育部会议室家具</w:t>
      </w:r>
      <w:r>
        <w:rPr>
          <w:rFonts w:ascii="宋体" w:hAnsi="宋体"/>
          <w:sz w:val="24"/>
          <w:szCs w:val="24"/>
        </w:rPr>
        <w:t>采购</w:t>
      </w:r>
      <w:r>
        <w:rPr>
          <w:rFonts w:hint="eastAsia" w:ascii="宋体" w:hAnsi="宋体"/>
          <w:sz w:val="24"/>
          <w:szCs w:val="24"/>
        </w:rPr>
        <w:t>项目</w:t>
      </w:r>
      <w:r>
        <w:rPr>
          <w:rFonts w:hint="eastAsia" w:ascii="宋体" w:hAnsi="宋体"/>
          <w:sz w:val="24"/>
          <w:szCs w:val="24"/>
          <w:lang w:eastAsia="zh-CN"/>
        </w:rPr>
        <w:t>（项目编号：NCHS20250930-XJ-HW21）</w:t>
      </w:r>
      <w:r>
        <w:rPr>
          <w:rFonts w:hint="eastAsia" w:ascii="宋体" w:hAnsi="宋体"/>
          <w:sz w:val="24"/>
          <w:szCs w:val="24"/>
        </w:rPr>
        <w:t>通过</w:t>
      </w:r>
      <w:r>
        <w:rPr>
          <w:rFonts w:ascii="宋体" w:hAnsi="宋体"/>
          <w:sz w:val="24"/>
          <w:szCs w:val="24"/>
        </w:rPr>
        <w:t>询价方式</w:t>
      </w:r>
      <w:r>
        <w:rPr>
          <w:rFonts w:hint="eastAsia" w:ascii="宋体" w:hAnsi="宋体"/>
          <w:sz w:val="24"/>
          <w:szCs w:val="24"/>
        </w:rPr>
        <w:t>采购，欢迎符合资质要求的单位参与报价。本次询价采购由学院招投标</w:t>
      </w:r>
      <w:r>
        <w:rPr>
          <w:rFonts w:ascii="宋体" w:hAnsi="宋体"/>
          <w:sz w:val="24"/>
          <w:szCs w:val="24"/>
        </w:rPr>
        <w:t>工作小组</w:t>
      </w:r>
      <w:r>
        <w:rPr>
          <w:rFonts w:hint="eastAsia" w:ascii="宋体" w:hAnsi="宋体"/>
          <w:sz w:val="24"/>
          <w:szCs w:val="24"/>
        </w:rPr>
        <w:t>统一组织，并按照《南京财经大学红山学院招投标管理办法（试行）》有关规定开展工作，请各参与单位积极配合，认真阅读本询价文件，精心做好相应工作。现将有关事项告知如下：</w:t>
      </w:r>
    </w:p>
    <w:p w14:paraId="78B96F51">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rPr>
        <w:t>一、承办部门：</w:t>
      </w:r>
      <w:r>
        <w:rPr>
          <w:rFonts w:hint="eastAsia" w:ascii="宋体" w:hAnsi="宋体"/>
          <w:sz w:val="24"/>
          <w:szCs w:val="24"/>
        </w:rPr>
        <w:t>南京财经大学红山学院</w:t>
      </w:r>
      <w:r>
        <w:rPr>
          <w:rFonts w:hint="eastAsia" w:ascii="宋体" w:hAnsi="宋体"/>
          <w:sz w:val="24"/>
          <w:szCs w:val="24"/>
          <w:lang w:val="en-US" w:eastAsia="zh-CN"/>
        </w:rPr>
        <w:t>体育部</w:t>
      </w:r>
      <w:r>
        <w:rPr>
          <w:rFonts w:hint="eastAsia" w:ascii="宋体" w:hAnsi="宋体"/>
          <w:sz w:val="24"/>
          <w:szCs w:val="24"/>
        </w:rPr>
        <w:t>。</w:t>
      </w:r>
    </w:p>
    <w:p w14:paraId="51B659F3">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二、项目描述：</w:t>
      </w:r>
    </w:p>
    <w:p w14:paraId="3FD0D336">
      <w:pPr>
        <w:adjustRightInd w:val="0"/>
        <w:spacing w:line="460" w:lineRule="exact"/>
        <w:ind w:firstLine="480" w:firstLineChars="200"/>
        <w:contextualSpacing/>
        <w:rPr>
          <w:rFonts w:hint="default" w:ascii="宋体" w:hAnsi="宋体"/>
          <w:b w:val="0"/>
          <w:bCs/>
          <w:sz w:val="24"/>
          <w:szCs w:val="24"/>
          <w:lang w:val="en-US" w:eastAsia="zh-CN"/>
        </w:rPr>
      </w:pPr>
      <w:r>
        <w:rPr>
          <w:rFonts w:hint="eastAsia" w:ascii="宋体" w:hAnsi="宋体"/>
          <w:b w:val="0"/>
          <w:bCs/>
          <w:sz w:val="24"/>
          <w:szCs w:val="24"/>
          <w:lang w:val="en-US" w:eastAsia="zh-CN"/>
        </w:rPr>
        <w:t>1.限价：1.88万元</w:t>
      </w:r>
    </w:p>
    <w:p w14:paraId="08411087">
      <w:pPr>
        <w:adjustRightInd w:val="0"/>
        <w:spacing w:line="460" w:lineRule="exact"/>
        <w:ind w:firstLine="480" w:firstLineChars="200"/>
        <w:contextualSpacing/>
        <w:rPr>
          <w:rFonts w:hint="default" w:ascii="宋体" w:hAnsi="宋体"/>
          <w:b w:val="0"/>
          <w:bCs/>
          <w:sz w:val="24"/>
          <w:szCs w:val="24"/>
          <w:lang w:val="en-US" w:eastAsia="zh-CN"/>
        </w:rPr>
      </w:pPr>
      <w:r>
        <w:rPr>
          <w:rFonts w:hint="eastAsia" w:ascii="宋体" w:hAnsi="宋体"/>
          <w:b w:val="0"/>
          <w:bCs/>
          <w:sz w:val="24"/>
          <w:szCs w:val="24"/>
          <w:lang w:val="en-US" w:eastAsia="zh-CN"/>
        </w:rPr>
        <w:t>2.询价内容：见报价单（附件1）</w:t>
      </w:r>
    </w:p>
    <w:p w14:paraId="5EEE2EAC">
      <w:pPr>
        <w:adjustRightInd w:val="0"/>
        <w:spacing w:line="460" w:lineRule="exact"/>
        <w:ind w:firstLine="480" w:firstLineChars="200"/>
        <w:contextualSpacing/>
        <w:rPr>
          <w:rFonts w:hint="eastAsia" w:ascii="宋体" w:hAnsi="宋体" w:eastAsia="宋体" w:cs="Times New Roman"/>
          <w:b/>
          <w:sz w:val="24"/>
          <w:szCs w:val="24"/>
        </w:rPr>
      </w:pPr>
      <w:r>
        <w:rPr>
          <w:rFonts w:hint="eastAsia" w:ascii="宋体" w:hAnsi="宋体" w:eastAsia="宋体" w:cs="Times New Roman"/>
          <w:b/>
          <w:sz w:val="24"/>
          <w:szCs w:val="24"/>
        </w:rPr>
        <w:t>三、项目地点：南京市高淳区古柏街道鹿鸣大道66号，南京财经大学红山学院高淳校区。</w:t>
      </w:r>
    </w:p>
    <w:p w14:paraId="0E04D54C">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四、</w:t>
      </w:r>
      <w:r>
        <w:rPr>
          <w:rFonts w:hint="eastAsia" w:ascii="宋体" w:hAnsi="宋体"/>
          <w:b/>
          <w:sz w:val="24"/>
          <w:szCs w:val="24"/>
          <w:lang w:val="en-US" w:eastAsia="zh-CN"/>
        </w:rPr>
        <w:t>供应商</w:t>
      </w:r>
      <w:r>
        <w:rPr>
          <w:rFonts w:hint="eastAsia" w:ascii="宋体" w:hAnsi="宋体"/>
          <w:b/>
          <w:sz w:val="24"/>
          <w:szCs w:val="24"/>
        </w:rPr>
        <w:t>资质：</w:t>
      </w:r>
    </w:p>
    <w:p w14:paraId="7CC80796">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必须是在</w:t>
      </w:r>
      <w:r>
        <w:rPr>
          <w:rFonts w:hint="eastAsia" w:ascii="宋体" w:hAnsi="宋体" w:cs="宋体"/>
          <w:color w:val="auto"/>
          <w:sz w:val="24"/>
          <w:szCs w:val="24"/>
          <w:highlight w:val="none"/>
          <w:lang w:val="en-US" w:eastAsia="zh-CN"/>
        </w:rPr>
        <w:t>市场监督</w:t>
      </w:r>
      <w:r>
        <w:rPr>
          <w:rFonts w:hint="eastAsia" w:ascii="宋体" w:hAnsi="宋体" w:cs="宋体"/>
          <w:color w:val="auto"/>
          <w:sz w:val="24"/>
          <w:szCs w:val="24"/>
          <w:highlight w:val="none"/>
        </w:rPr>
        <w:t>管理部门和税务部门登记注册的企业，具有独立法人资格，持有效营业执照、税务登记证、组织机构代码证（或三证合一）</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所经营项目相关的国家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行业规范要求的相关证照。</w:t>
      </w:r>
    </w:p>
    <w:p w14:paraId="14414857">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提供</w:t>
      </w:r>
      <w:r>
        <w:rPr>
          <w:rFonts w:hint="eastAsia" w:ascii="宋体" w:hAnsi="宋体" w:cs="宋体"/>
          <w:color w:val="auto"/>
          <w:sz w:val="24"/>
          <w:szCs w:val="24"/>
          <w:highlight w:val="none"/>
        </w:rPr>
        <w:t>履行合同所必需的设备和专业技术能力</w:t>
      </w:r>
      <w:r>
        <w:rPr>
          <w:rFonts w:hint="eastAsia" w:ascii="宋体" w:hAnsi="宋体" w:cs="宋体"/>
          <w:color w:val="auto"/>
          <w:sz w:val="24"/>
          <w:szCs w:val="24"/>
          <w:highlight w:val="none"/>
          <w:lang w:val="en-US" w:eastAsia="zh-CN"/>
        </w:rPr>
        <w:t>的承诺函或佐证材料</w:t>
      </w:r>
      <w:r>
        <w:rPr>
          <w:rFonts w:hint="eastAsia" w:ascii="宋体" w:hAnsi="宋体" w:cs="宋体"/>
          <w:color w:val="auto"/>
          <w:sz w:val="24"/>
          <w:szCs w:val="24"/>
          <w:highlight w:val="none"/>
        </w:rPr>
        <w:t>；</w:t>
      </w:r>
    </w:p>
    <w:p w14:paraId="33D7D123">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lang w:val="en-US" w:eastAsia="zh-CN"/>
        </w:rPr>
        <w:t>提供近三年内在经营活动中没有重大违法违规行为和未受行业主管部门处罚的承诺书</w:t>
      </w:r>
      <w:r>
        <w:rPr>
          <w:rFonts w:hint="eastAsia" w:ascii="宋体" w:hAnsi="宋体" w:cs="宋体"/>
          <w:color w:val="auto"/>
          <w:sz w:val="24"/>
          <w:szCs w:val="24"/>
          <w:highlight w:val="none"/>
          <w:lang w:val="en-US" w:eastAsia="zh-CN"/>
        </w:rPr>
        <w:t>或佐证材料</w:t>
      </w:r>
      <w:r>
        <w:rPr>
          <w:rFonts w:hint="eastAsia" w:ascii="宋体" w:hAnsi="宋体" w:cs="宋体"/>
          <w:color w:val="auto"/>
          <w:sz w:val="24"/>
          <w:szCs w:val="24"/>
          <w:highlight w:val="none"/>
        </w:rPr>
        <w:t>；</w:t>
      </w:r>
    </w:p>
    <w:p w14:paraId="54E7E1F4">
      <w:pPr>
        <w:adjustRightInd w:val="0"/>
        <w:snapToGrid w:val="0"/>
        <w:spacing w:line="30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.提供完善售后</w:t>
      </w:r>
      <w:r>
        <w:rPr>
          <w:rFonts w:hint="eastAsia" w:ascii="宋体" w:hAnsi="宋体" w:eastAsia="宋体" w:cs="宋体"/>
          <w:color w:val="auto"/>
          <w:sz w:val="24"/>
          <w:szCs w:val="24"/>
          <w:highlight w:val="none"/>
        </w:rPr>
        <w:t>服务</w:t>
      </w:r>
      <w:r>
        <w:rPr>
          <w:rFonts w:hint="eastAsia" w:ascii="宋体" w:hAnsi="宋体" w:eastAsia="宋体" w:cs="宋体"/>
          <w:color w:val="auto"/>
          <w:sz w:val="24"/>
          <w:szCs w:val="24"/>
          <w:highlight w:val="none"/>
          <w:lang w:val="en-US" w:eastAsia="zh-CN"/>
        </w:rPr>
        <w:t>承诺</w:t>
      </w:r>
      <w:r>
        <w:rPr>
          <w:rFonts w:hint="eastAsia" w:ascii="宋体" w:hAnsi="宋体" w:cs="宋体"/>
          <w:color w:val="auto"/>
          <w:sz w:val="24"/>
          <w:szCs w:val="24"/>
          <w:highlight w:val="none"/>
          <w:lang w:val="en-US" w:eastAsia="zh-CN"/>
        </w:rPr>
        <w:t>；</w:t>
      </w:r>
    </w:p>
    <w:p w14:paraId="1151E788">
      <w:pPr>
        <w:adjustRightInd w:val="0"/>
        <w:snapToGrid w:val="0"/>
        <w:spacing w:line="30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法律、行政法规规定的其他从事本项目资质条件</w:t>
      </w:r>
      <w:r>
        <w:rPr>
          <w:rFonts w:hint="eastAsia" w:ascii="宋体" w:hAnsi="宋体" w:cs="宋体"/>
          <w:color w:val="auto"/>
          <w:sz w:val="24"/>
          <w:szCs w:val="24"/>
          <w:highlight w:val="none"/>
          <w:lang w:eastAsia="zh-CN"/>
        </w:rPr>
        <w:t>。</w:t>
      </w:r>
    </w:p>
    <w:p w14:paraId="229BE2BF">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注：</w:t>
      </w:r>
      <w:r>
        <w:rPr>
          <w:rFonts w:hint="eastAsia" w:ascii="宋体" w:hAnsi="宋体"/>
          <w:b/>
          <w:sz w:val="24"/>
          <w:szCs w:val="24"/>
        </w:rPr>
        <w:t>提供的全部资质材料复印件须加盖</w:t>
      </w:r>
      <w:r>
        <w:rPr>
          <w:rFonts w:hint="eastAsia" w:ascii="宋体" w:hAnsi="宋体"/>
          <w:b/>
          <w:sz w:val="24"/>
          <w:szCs w:val="24"/>
          <w:lang w:val="en-US" w:eastAsia="zh-CN"/>
        </w:rPr>
        <w:t>供应商</w:t>
      </w:r>
      <w:r>
        <w:rPr>
          <w:rFonts w:hint="eastAsia" w:ascii="宋体" w:hAnsi="宋体"/>
          <w:b/>
          <w:sz w:val="24"/>
          <w:szCs w:val="24"/>
        </w:rPr>
        <w:t>公章，原件备查。</w:t>
      </w:r>
    </w:p>
    <w:p w14:paraId="0FFD2798">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lang w:val="en-US" w:eastAsia="zh-CN"/>
        </w:rPr>
        <w:t>五</w:t>
      </w:r>
      <w:r>
        <w:rPr>
          <w:rFonts w:hint="eastAsia" w:ascii="宋体" w:hAnsi="宋体"/>
          <w:b/>
          <w:sz w:val="24"/>
          <w:szCs w:val="24"/>
        </w:rPr>
        <w:t>、成交供应商确定：</w:t>
      </w:r>
      <w:r>
        <w:rPr>
          <w:rFonts w:hint="eastAsia" w:ascii="宋体" w:hAnsi="宋体"/>
          <w:sz w:val="24"/>
          <w:szCs w:val="24"/>
        </w:rPr>
        <w:t>在完全满足询价文件要求的有效报价中，</w:t>
      </w:r>
      <w:r>
        <w:rPr>
          <w:rFonts w:hint="eastAsia" w:ascii="宋体" w:hAnsi="宋体" w:eastAsia="宋体" w:cs="宋体"/>
          <w:color w:val="auto"/>
          <w:sz w:val="24"/>
          <w:szCs w:val="24"/>
          <w:lang w:val="en-US" w:eastAsia="zh-CN"/>
        </w:rPr>
        <w:t>经</w:t>
      </w:r>
      <w:r>
        <w:rPr>
          <w:rFonts w:hint="eastAsia" w:ascii="宋体" w:hAnsi="宋体" w:cs="宋体"/>
          <w:color w:val="auto"/>
          <w:sz w:val="24"/>
          <w:szCs w:val="24"/>
          <w:lang w:val="en-US" w:eastAsia="zh-CN"/>
        </w:rPr>
        <w:t>评标小组</w:t>
      </w:r>
      <w:r>
        <w:rPr>
          <w:rFonts w:hint="eastAsia" w:ascii="宋体" w:hAnsi="宋体" w:eastAsia="宋体" w:cs="宋体"/>
          <w:color w:val="auto"/>
          <w:sz w:val="24"/>
          <w:szCs w:val="24"/>
        </w:rPr>
        <w:t>综合</w:t>
      </w:r>
      <w:r>
        <w:rPr>
          <w:rFonts w:hint="eastAsia" w:ascii="宋体" w:hAnsi="宋体" w:eastAsia="宋体" w:cs="宋体"/>
          <w:color w:val="auto"/>
          <w:sz w:val="24"/>
          <w:szCs w:val="24"/>
          <w:lang w:val="en-US" w:eastAsia="zh-CN"/>
        </w:rPr>
        <w:t>评</w:t>
      </w:r>
      <w:r>
        <w:rPr>
          <w:rFonts w:hint="eastAsia" w:ascii="宋体" w:hAnsi="宋体" w:cs="宋体"/>
          <w:color w:val="auto"/>
          <w:sz w:val="24"/>
          <w:szCs w:val="24"/>
          <w:lang w:val="en-US" w:eastAsia="zh-CN"/>
        </w:rPr>
        <w:t>价确定中标供应商</w:t>
      </w:r>
      <w:r>
        <w:rPr>
          <w:rFonts w:hint="eastAsia" w:ascii="宋体" w:hAnsi="宋体"/>
          <w:sz w:val="24"/>
          <w:szCs w:val="24"/>
        </w:rPr>
        <w:t>。</w:t>
      </w:r>
    </w:p>
    <w:p w14:paraId="276C961C">
      <w:pPr>
        <w:adjustRightInd w:val="0"/>
        <w:spacing w:line="460" w:lineRule="exact"/>
        <w:ind w:firstLine="480" w:firstLineChars="200"/>
        <w:contextualSpacing/>
        <w:rPr>
          <w:rFonts w:hint="eastAsia" w:ascii="宋体" w:hAnsi="宋体"/>
          <w:color w:val="auto"/>
          <w:sz w:val="24"/>
          <w:szCs w:val="24"/>
          <w:lang w:val="en-US" w:eastAsia="zh-CN"/>
        </w:rPr>
      </w:pPr>
      <w:r>
        <w:rPr>
          <w:rFonts w:hint="eastAsia" w:ascii="宋体" w:hAnsi="宋体"/>
          <w:b/>
          <w:sz w:val="24"/>
          <w:szCs w:val="24"/>
          <w:lang w:val="en-US" w:eastAsia="zh-CN"/>
        </w:rPr>
        <w:t>六</w:t>
      </w:r>
      <w:r>
        <w:rPr>
          <w:rFonts w:hint="eastAsia" w:ascii="宋体" w:hAnsi="宋体"/>
          <w:b/>
          <w:sz w:val="24"/>
          <w:szCs w:val="24"/>
        </w:rPr>
        <w:t>、付款方式：</w:t>
      </w:r>
      <w:r>
        <w:rPr>
          <w:rFonts w:hint="eastAsia" w:ascii="宋体" w:hAnsi="宋体"/>
          <w:sz w:val="24"/>
          <w:szCs w:val="24"/>
        </w:rPr>
        <w:t>在指定位置</w:t>
      </w:r>
      <w:r>
        <w:rPr>
          <w:rFonts w:ascii="宋体" w:hAnsi="宋体"/>
          <w:sz w:val="24"/>
          <w:szCs w:val="24"/>
        </w:rPr>
        <w:t>交货并</w:t>
      </w:r>
      <w:r>
        <w:rPr>
          <w:rFonts w:hint="eastAsia" w:ascii="宋体" w:hAnsi="宋体"/>
          <w:sz w:val="24"/>
          <w:szCs w:val="24"/>
          <w:lang w:val="en-US" w:eastAsia="zh-CN"/>
        </w:rPr>
        <w:t>完成安装，经</w:t>
      </w:r>
      <w:r>
        <w:rPr>
          <w:rFonts w:ascii="宋体" w:hAnsi="宋体"/>
          <w:sz w:val="24"/>
          <w:szCs w:val="24"/>
        </w:rPr>
        <w:t>验收合格</w:t>
      </w:r>
      <w:r>
        <w:rPr>
          <w:rFonts w:hint="eastAsia" w:ascii="宋体" w:hAnsi="宋体"/>
          <w:sz w:val="24"/>
          <w:szCs w:val="24"/>
          <w:lang w:eastAsia="zh-CN"/>
        </w:rPr>
        <w:t>，</w:t>
      </w:r>
      <w:r>
        <w:rPr>
          <w:rFonts w:hint="eastAsia" w:ascii="宋体" w:hAnsi="宋体"/>
          <w:sz w:val="24"/>
          <w:szCs w:val="24"/>
        </w:rPr>
        <w:t>中标</w:t>
      </w:r>
      <w:r>
        <w:rPr>
          <w:rFonts w:hint="eastAsia" w:ascii="宋体" w:hAnsi="宋体"/>
          <w:sz w:val="24"/>
          <w:szCs w:val="24"/>
          <w:lang w:val="en-US" w:eastAsia="zh-CN"/>
        </w:rPr>
        <w:t>供应商</w:t>
      </w:r>
      <w:r>
        <w:rPr>
          <w:rFonts w:hint="eastAsia" w:ascii="宋体" w:hAnsi="宋体"/>
          <w:sz w:val="24"/>
          <w:szCs w:val="24"/>
        </w:rPr>
        <w:t>开具正规</w:t>
      </w:r>
      <w:r>
        <w:rPr>
          <w:rFonts w:hint="eastAsia" w:ascii="宋体" w:hAnsi="宋体"/>
          <w:sz w:val="24"/>
          <w:szCs w:val="24"/>
          <w:lang w:val="en-US" w:eastAsia="zh-CN"/>
        </w:rPr>
        <w:t>全额</w:t>
      </w:r>
      <w:r>
        <w:rPr>
          <w:rFonts w:hint="eastAsia" w:ascii="宋体" w:hAnsi="宋体"/>
          <w:sz w:val="24"/>
          <w:szCs w:val="24"/>
        </w:rPr>
        <w:t>增值税普通发票</w:t>
      </w:r>
      <w:r>
        <w:rPr>
          <w:rFonts w:hint="eastAsia" w:ascii="宋体" w:hAnsi="宋体"/>
          <w:sz w:val="24"/>
          <w:szCs w:val="24"/>
          <w:lang w:eastAsia="zh-CN"/>
        </w:rPr>
        <w:t>，</w:t>
      </w:r>
      <w:r>
        <w:rPr>
          <w:rFonts w:hint="eastAsia" w:ascii="宋体" w:hAnsi="宋体"/>
          <w:sz w:val="24"/>
          <w:szCs w:val="24"/>
          <w:lang w:val="en-US" w:eastAsia="zh-CN"/>
        </w:rPr>
        <w:t>询价人</w:t>
      </w:r>
      <w:r>
        <w:rPr>
          <w:rFonts w:ascii="宋体" w:hAnsi="宋体"/>
          <w:sz w:val="24"/>
          <w:szCs w:val="24"/>
        </w:rPr>
        <w:t>支付</w:t>
      </w:r>
      <w:r>
        <w:rPr>
          <w:rFonts w:hint="eastAsia" w:ascii="宋体" w:hAnsi="宋体"/>
          <w:sz w:val="24"/>
          <w:szCs w:val="24"/>
          <w:lang w:val="en-US" w:eastAsia="zh-CN"/>
        </w:rPr>
        <w:t>全部</w:t>
      </w:r>
      <w:r>
        <w:rPr>
          <w:rFonts w:ascii="宋体" w:hAnsi="宋体"/>
          <w:sz w:val="24"/>
          <w:szCs w:val="24"/>
        </w:rPr>
        <w:t>货款</w:t>
      </w:r>
      <w:r>
        <w:rPr>
          <w:rFonts w:hint="eastAsia" w:ascii="宋体" w:hAnsi="宋体"/>
          <w:sz w:val="24"/>
          <w:szCs w:val="24"/>
          <w:lang w:val="en-US" w:eastAsia="zh-CN"/>
        </w:rPr>
        <w:t>的90%，剩余10%作为质量保证金，自验收合格之日起</w:t>
      </w:r>
      <w:r>
        <w:rPr>
          <w:rFonts w:hint="eastAsia" w:ascii="宋体" w:hAnsi="宋体" w:eastAsia="宋体" w:cs="宋体"/>
          <w:i w:val="0"/>
          <w:color w:val="000000"/>
          <w:kern w:val="0"/>
          <w:sz w:val="24"/>
          <w:szCs w:val="24"/>
          <w:u w:val="none"/>
          <w:lang w:val="en-US" w:eastAsia="zh-CN" w:bidi="ar"/>
        </w:rPr>
        <w:t>满</w:t>
      </w:r>
      <w:r>
        <w:rPr>
          <w:rFonts w:hint="eastAsia" w:ascii="宋体" w:hAnsi="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年后</w:t>
      </w:r>
      <w:r>
        <w:rPr>
          <w:rFonts w:hint="eastAsia" w:ascii="宋体" w:hAnsi="宋体" w:cs="宋体"/>
          <w:i w:val="0"/>
          <w:color w:val="000000"/>
          <w:kern w:val="0"/>
          <w:sz w:val="24"/>
          <w:szCs w:val="24"/>
          <w:u w:val="none"/>
          <w:lang w:val="en-US" w:eastAsia="zh-CN" w:bidi="ar"/>
        </w:rPr>
        <w:t>一次性无息</w:t>
      </w:r>
      <w:r>
        <w:rPr>
          <w:rFonts w:hint="eastAsia" w:ascii="宋体" w:hAnsi="宋体" w:eastAsia="宋体" w:cs="宋体"/>
          <w:i w:val="0"/>
          <w:color w:val="000000"/>
          <w:kern w:val="0"/>
          <w:sz w:val="24"/>
          <w:szCs w:val="24"/>
          <w:u w:val="none"/>
          <w:lang w:val="en-US" w:eastAsia="zh-CN" w:bidi="ar"/>
        </w:rPr>
        <w:t>付清。</w:t>
      </w:r>
    </w:p>
    <w:p w14:paraId="63010954">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lang w:val="en-US" w:eastAsia="zh-CN"/>
        </w:rPr>
        <w:t>七</w:t>
      </w:r>
      <w:r>
        <w:rPr>
          <w:rFonts w:hint="eastAsia" w:ascii="宋体" w:hAnsi="宋体"/>
          <w:b/>
          <w:sz w:val="24"/>
          <w:szCs w:val="24"/>
        </w:rPr>
        <w:t>、工期：</w:t>
      </w:r>
      <w:r>
        <w:rPr>
          <w:rFonts w:hint="eastAsia" w:ascii="宋体" w:hAnsi="宋体"/>
          <w:sz w:val="24"/>
          <w:szCs w:val="24"/>
        </w:rPr>
        <w:t>自合同签订之日起</w:t>
      </w:r>
      <w:r>
        <w:rPr>
          <w:rFonts w:hint="eastAsia" w:ascii="宋体" w:hAnsi="宋体"/>
          <w:sz w:val="24"/>
          <w:szCs w:val="24"/>
          <w:lang w:val="en-US" w:eastAsia="zh-CN"/>
        </w:rPr>
        <w:t>15</w:t>
      </w:r>
      <w:r>
        <w:rPr>
          <w:rFonts w:hint="eastAsia" w:ascii="宋体" w:hAnsi="宋体"/>
          <w:sz w:val="24"/>
          <w:szCs w:val="24"/>
        </w:rPr>
        <w:t>日内交付使用。因采购人原因（包括但不限于未能提供必要的安装条件、场地等）导致工期延误的，交货及安装工期相应顺延。</w:t>
      </w:r>
    </w:p>
    <w:p w14:paraId="3C654F5E">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lang w:val="en-US" w:eastAsia="zh-CN"/>
        </w:rPr>
        <w:t>八</w:t>
      </w:r>
      <w:r>
        <w:rPr>
          <w:rFonts w:hint="eastAsia" w:ascii="宋体" w:hAnsi="宋体"/>
          <w:b/>
          <w:sz w:val="24"/>
          <w:szCs w:val="24"/>
        </w:rPr>
        <w:t>、报价文件的组成</w:t>
      </w:r>
    </w:p>
    <w:p w14:paraId="12AA9CFD">
      <w:pPr>
        <w:adjustRightIn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．资质证明：询价文件第</w:t>
      </w:r>
      <w:r>
        <w:rPr>
          <w:rFonts w:hint="eastAsia" w:ascii="宋体" w:hAnsi="宋体" w:cs="宋体"/>
          <w:sz w:val="24"/>
          <w:szCs w:val="24"/>
          <w:lang w:val="en-US" w:eastAsia="zh-CN"/>
        </w:rPr>
        <w:t>四</w:t>
      </w:r>
      <w:r>
        <w:rPr>
          <w:rFonts w:hint="eastAsia" w:ascii="宋体" w:hAnsi="宋体" w:cs="宋体"/>
          <w:sz w:val="24"/>
          <w:szCs w:val="24"/>
        </w:rPr>
        <w:t>项“</w:t>
      </w:r>
      <w:r>
        <w:rPr>
          <w:rFonts w:hint="eastAsia" w:ascii="宋体" w:hAnsi="宋体" w:cs="宋体"/>
          <w:sz w:val="24"/>
          <w:szCs w:val="24"/>
          <w:lang w:val="en-US" w:eastAsia="zh-CN"/>
        </w:rPr>
        <w:t>供应商</w:t>
      </w:r>
      <w:r>
        <w:rPr>
          <w:rFonts w:hint="eastAsia" w:ascii="宋体" w:hAnsi="宋体" w:cs="宋体"/>
          <w:sz w:val="24"/>
          <w:szCs w:val="24"/>
        </w:rPr>
        <w:t>资质”中所要求的证明材料。</w:t>
      </w:r>
    </w:p>
    <w:p w14:paraId="505F2C7A">
      <w:pPr>
        <w:adjustRightIn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 报价单：报价为一次性</w:t>
      </w:r>
      <w:r>
        <w:rPr>
          <w:rFonts w:hint="eastAsia" w:ascii="宋体" w:hAnsi="宋体" w:cs="宋体"/>
          <w:sz w:val="24"/>
          <w:szCs w:val="24"/>
          <w:lang w:val="en-US" w:eastAsia="zh-CN"/>
        </w:rPr>
        <w:t>含税</w:t>
      </w:r>
      <w:r>
        <w:rPr>
          <w:rFonts w:hint="eastAsia" w:ascii="宋体" w:hAnsi="宋体" w:cs="宋体"/>
          <w:sz w:val="24"/>
          <w:szCs w:val="24"/>
        </w:rPr>
        <w:t>报价，采购人不再支付其他任何费用。</w:t>
      </w:r>
    </w:p>
    <w:p w14:paraId="10214276">
      <w:pPr>
        <w:adjustRightInd w:val="0"/>
        <w:spacing w:line="360" w:lineRule="auto"/>
        <w:ind w:firstLine="480" w:firstLineChars="200"/>
        <w:contextualSpacing/>
        <w:rPr>
          <w:rFonts w:hint="default" w:ascii="宋体" w:hAnsi="宋体" w:cs="宋体"/>
          <w:sz w:val="24"/>
          <w:szCs w:val="24"/>
          <w:lang w:val="en-US" w:eastAsia="zh-CN"/>
        </w:rPr>
      </w:pPr>
      <w:r>
        <w:rPr>
          <w:rFonts w:hint="eastAsia" w:ascii="宋体" w:hAnsi="宋体" w:cs="宋体"/>
          <w:sz w:val="24"/>
          <w:szCs w:val="24"/>
          <w:lang w:val="en-US" w:eastAsia="zh-CN"/>
        </w:rPr>
        <w:t>3. 产品图册、材质说明等材料。</w:t>
      </w:r>
    </w:p>
    <w:p w14:paraId="35694A75">
      <w:pPr>
        <w:adjustRightInd w:val="0"/>
        <w:spacing w:line="460" w:lineRule="exact"/>
        <w:ind w:firstLine="480" w:firstLineChars="200"/>
        <w:contextualSpacing/>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质保承诺。</w:t>
      </w:r>
    </w:p>
    <w:p w14:paraId="08188EFE">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lang w:val="en-US" w:eastAsia="zh-CN"/>
        </w:rPr>
        <w:t>九</w:t>
      </w:r>
      <w:r>
        <w:rPr>
          <w:rFonts w:hint="eastAsia" w:ascii="宋体" w:hAnsi="宋体"/>
          <w:b/>
          <w:sz w:val="24"/>
          <w:szCs w:val="24"/>
        </w:rPr>
        <w:t>、</w:t>
      </w:r>
      <w:r>
        <w:rPr>
          <w:rFonts w:ascii="宋体" w:hAnsi="宋体"/>
          <w:b/>
          <w:sz w:val="24"/>
          <w:szCs w:val="24"/>
        </w:rPr>
        <w:t>报价文件签</w:t>
      </w:r>
      <w:r>
        <w:rPr>
          <w:rFonts w:hint="eastAsia" w:ascii="宋体" w:hAnsi="宋体"/>
          <w:b/>
          <w:sz w:val="24"/>
          <w:szCs w:val="24"/>
        </w:rPr>
        <w:t>署和递交</w:t>
      </w:r>
    </w:p>
    <w:p w14:paraId="1CE7AA9F">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1.报价单、所有说明及承诺材料均应使用不能擦去的墨水书写或A4纸打印，由</w:t>
      </w:r>
      <w:r>
        <w:rPr>
          <w:rFonts w:hint="eastAsia" w:ascii="宋体" w:hAnsi="宋体"/>
          <w:sz w:val="24"/>
          <w:szCs w:val="24"/>
          <w:lang w:val="en-US" w:eastAsia="zh-CN"/>
        </w:rPr>
        <w:t>供应商</w:t>
      </w:r>
      <w:r>
        <w:rPr>
          <w:rFonts w:hint="eastAsia" w:ascii="宋体" w:hAnsi="宋体"/>
          <w:sz w:val="24"/>
          <w:szCs w:val="24"/>
        </w:rPr>
        <w:t>加盖公章并由法人或法人委托的代理人签名；</w:t>
      </w:r>
      <w:r>
        <w:rPr>
          <w:rFonts w:hint="eastAsia" w:ascii="宋体" w:hAnsi="宋体"/>
          <w:sz w:val="24"/>
          <w:szCs w:val="24"/>
          <w:lang w:val="en-US" w:eastAsia="zh-CN"/>
        </w:rPr>
        <w:t>报价文件共需五份，一份正本四份副本；</w:t>
      </w:r>
      <w:r>
        <w:rPr>
          <w:rFonts w:hint="eastAsia" w:ascii="宋体" w:hAnsi="宋体"/>
          <w:sz w:val="24"/>
          <w:szCs w:val="24"/>
        </w:rPr>
        <w:t>所有复印材料均须加盖公章。</w:t>
      </w:r>
    </w:p>
    <w:p w14:paraId="60CA7A1B">
      <w:pPr>
        <w:adjustRightInd w:val="0"/>
        <w:spacing w:line="480" w:lineRule="exact"/>
        <w:ind w:firstLine="480" w:firstLineChars="200"/>
        <w:contextualSpacing/>
        <w:rPr>
          <w:rFonts w:hint="eastAsia" w:ascii="宋体" w:hAnsi="宋体" w:cs="宋体"/>
          <w:sz w:val="24"/>
          <w:szCs w:val="24"/>
        </w:rPr>
      </w:pPr>
      <w:r>
        <w:rPr>
          <w:rFonts w:hint="eastAsia" w:ascii="宋体" w:hAnsi="宋体"/>
          <w:sz w:val="24"/>
          <w:szCs w:val="24"/>
        </w:rPr>
        <w:t>2．</w:t>
      </w:r>
      <w:r>
        <w:rPr>
          <w:rFonts w:hint="eastAsia" w:ascii="宋体" w:hAnsi="宋体" w:cs="宋体"/>
          <w:sz w:val="24"/>
          <w:szCs w:val="24"/>
        </w:rPr>
        <w:t>请将密封后的报价文件递交至：南京财经大学红山学院院长办公室，地址：南京财经大学红山学院高淳校区图书馆604室。联系人：</w:t>
      </w:r>
      <w:r>
        <w:rPr>
          <w:rFonts w:hint="eastAsia" w:ascii="宋体" w:hAnsi="宋体" w:cs="宋体"/>
          <w:sz w:val="24"/>
          <w:szCs w:val="24"/>
          <w:lang w:val="en-US" w:eastAsia="zh-CN"/>
        </w:rPr>
        <w:t>徐</w:t>
      </w:r>
      <w:r>
        <w:rPr>
          <w:rFonts w:hint="eastAsia" w:ascii="宋体" w:hAnsi="宋体" w:cs="宋体"/>
          <w:sz w:val="24"/>
          <w:szCs w:val="24"/>
        </w:rPr>
        <w:t>老师，电话：</w:t>
      </w:r>
      <w:r>
        <w:rPr>
          <w:rFonts w:hint="eastAsia" w:ascii="宋体" w:hAnsi="宋体" w:cs="宋体"/>
          <w:sz w:val="24"/>
          <w:szCs w:val="24"/>
          <w:lang w:val="en-US" w:eastAsia="zh-CN"/>
        </w:rPr>
        <w:t>13913335859</w:t>
      </w:r>
      <w:r>
        <w:rPr>
          <w:rFonts w:hint="eastAsia" w:ascii="宋体" w:hAnsi="宋体" w:cs="宋体"/>
          <w:sz w:val="24"/>
          <w:szCs w:val="24"/>
        </w:rPr>
        <w:t>。</w:t>
      </w:r>
    </w:p>
    <w:p w14:paraId="45593470">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3. 递交报价文件截止时间：202</w:t>
      </w:r>
      <w:r>
        <w:rPr>
          <w:rFonts w:hint="eastAsia" w:ascii="宋体" w:hAnsi="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日上午</w:t>
      </w:r>
      <w:r>
        <w:rPr>
          <w:rFonts w:hint="eastAsia" w:ascii="宋体" w:hAnsi="宋体" w:cs="宋体"/>
          <w:sz w:val="24"/>
          <w:szCs w:val="24"/>
          <w:lang w:val="en-US" w:eastAsia="zh-CN"/>
        </w:rPr>
        <w:t>10：30</w:t>
      </w:r>
      <w:r>
        <w:rPr>
          <w:rFonts w:hint="eastAsia" w:ascii="宋体" w:hAnsi="宋体" w:cs="宋体"/>
          <w:sz w:val="24"/>
          <w:szCs w:val="24"/>
        </w:rPr>
        <w:t>分（</w:t>
      </w:r>
      <w:r>
        <w:rPr>
          <w:rFonts w:hint="eastAsia" w:ascii="宋体" w:hAnsi="宋体"/>
          <w:sz w:val="24"/>
          <w:szCs w:val="24"/>
        </w:rPr>
        <w:t>北京时间）</w:t>
      </w:r>
    </w:p>
    <w:p w14:paraId="6089589D">
      <w:pPr>
        <w:adjustRightInd w:val="0"/>
        <w:spacing w:line="460" w:lineRule="exact"/>
        <w:ind w:firstLine="480" w:firstLineChars="200"/>
        <w:contextualSpacing/>
        <w:rPr>
          <w:rFonts w:hint="eastAsia" w:ascii="宋体" w:hAnsi="宋体" w:eastAsia="宋体"/>
          <w:sz w:val="24"/>
          <w:szCs w:val="24"/>
          <w:lang w:val="en-US" w:eastAsia="zh-CN"/>
        </w:rPr>
      </w:pPr>
      <w:r>
        <w:rPr>
          <w:rFonts w:hint="eastAsia" w:ascii="宋体" w:hAnsi="宋体"/>
          <w:sz w:val="24"/>
          <w:szCs w:val="24"/>
          <w:lang w:val="en-US" w:eastAsia="zh-CN"/>
        </w:rPr>
        <w:t>4.报价文件可以采用当面递交或邮寄送达等方式，如需当面递交请提前联系相关老师，告知需入校的递送人信息（公司、姓名、身份证号、手机号、车牌号）申请入校。</w:t>
      </w:r>
    </w:p>
    <w:p w14:paraId="409C2A24">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rPr>
        <w:t>十、报价有效期：</w:t>
      </w:r>
      <w:r>
        <w:rPr>
          <w:rFonts w:hint="eastAsia" w:ascii="宋体" w:hAnsi="宋体"/>
          <w:sz w:val="24"/>
          <w:szCs w:val="24"/>
        </w:rPr>
        <w:t>报价递交截止日后30个日历日内有效。</w:t>
      </w:r>
    </w:p>
    <w:p w14:paraId="46AC92E0">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十</w:t>
      </w:r>
      <w:r>
        <w:rPr>
          <w:rFonts w:hint="eastAsia" w:ascii="宋体" w:hAnsi="宋体"/>
          <w:b/>
          <w:sz w:val="24"/>
          <w:szCs w:val="24"/>
          <w:lang w:val="en-US" w:eastAsia="zh-CN"/>
        </w:rPr>
        <w:t>一</w:t>
      </w:r>
      <w:r>
        <w:rPr>
          <w:rFonts w:hint="eastAsia" w:ascii="宋体" w:hAnsi="宋体"/>
          <w:b/>
          <w:sz w:val="24"/>
          <w:szCs w:val="24"/>
        </w:rPr>
        <w:t>、无效报价：</w:t>
      </w:r>
    </w:p>
    <w:p w14:paraId="59901270">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下列情况属于未能对询价文件做出实质性响应，作无效报价处理。</w:t>
      </w:r>
    </w:p>
    <w:p w14:paraId="663A8C1E">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1．报价文件没有报价单位授权代表签字和加盖公章。</w:t>
      </w:r>
    </w:p>
    <w:p w14:paraId="11362E89">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2．报价文件载明的询价项目完成期限超过询价文件规定的期限。</w:t>
      </w:r>
    </w:p>
    <w:p w14:paraId="46FD9E6A">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3．明显不符合技术规格、技术标准的要求。</w:t>
      </w:r>
    </w:p>
    <w:p w14:paraId="09D40B6D">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4．报价文件附有询价方不能接受的条件。</w:t>
      </w:r>
    </w:p>
    <w:p w14:paraId="016B405B">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5．不符合询价文件中规定的实质性要求。</w:t>
      </w:r>
    </w:p>
    <w:p w14:paraId="08165A27">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6．报价单位提供的资料被查证为虚假或伪造的。</w:t>
      </w:r>
    </w:p>
    <w:p w14:paraId="1146FBB3">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十</w:t>
      </w:r>
      <w:r>
        <w:rPr>
          <w:rFonts w:hint="eastAsia" w:ascii="宋体" w:hAnsi="宋体"/>
          <w:b/>
          <w:sz w:val="24"/>
          <w:szCs w:val="24"/>
          <w:lang w:val="en-US" w:eastAsia="zh-CN"/>
        </w:rPr>
        <w:t>二</w:t>
      </w:r>
      <w:r>
        <w:rPr>
          <w:rFonts w:hint="eastAsia" w:ascii="宋体" w:hAnsi="宋体"/>
          <w:b/>
          <w:sz w:val="24"/>
          <w:szCs w:val="24"/>
        </w:rPr>
        <w:t>、其他说明</w:t>
      </w:r>
    </w:p>
    <w:p w14:paraId="2921DCF4">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w:t>
      </w:r>
      <w:r>
        <w:rPr>
          <w:rFonts w:hint="eastAsia" w:ascii="宋体" w:hAnsi="宋体"/>
          <w:sz w:val="24"/>
          <w:szCs w:val="24"/>
          <w:lang w:eastAsia="zh-CN"/>
        </w:rPr>
        <w:t>供应商</w:t>
      </w:r>
      <w:r>
        <w:rPr>
          <w:rFonts w:hint="eastAsia" w:ascii="宋体" w:hAnsi="宋体"/>
          <w:sz w:val="24"/>
          <w:szCs w:val="24"/>
        </w:rPr>
        <w:t>必须向询价人提供真实的资料，若</w:t>
      </w:r>
      <w:r>
        <w:rPr>
          <w:rFonts w:hint="eastAsia" w:ascii="宋体" w:hAnsi="宋体"/>
          <w:sz w:val="24"/>
          <w:szCs w:val="24"/>
          <w:lang w:eastAsia="zh-CN"/>
        </w:rPr>
        <w:t>供应商</w:t>
      </w:r>
      <w:r>
        <w:rPr>
          <w:rFonts w:hint="eastAsia" w:ascii="宋体" w:hAnsi="宋体"/>
          <w:sz w:val="24"/>
          <w:szCs w:val="24"/>
        </w:rPr>
        <w:t>所提供资料不真实，一经查证，即取消参与资格。</w:t>
      </w:r>
      <w:r>
        <w:rPr>
          <w:rFonts w:hint="eastAsia" w:ascii="宋体" w:hAnsi="宋体"/>
          <w:sz w:val="24"/>
          <w:szCs w:val="24"/>
          <w:lang w:eastAsia="zh-CN"/>
        </w:rPr>
        <w:t>供应商</w:t>
      </w:r>
      <w:r>
        <w:rPr>
          <w:rFonts w:hint="eastAsia" w:ascii="宋体" w:hAnsi="宋体"/>
          <w:sz w:val="24"/>
          <w:szCs w:val="24"/>
        </w:rPr>
        <w:t>必须按照询价文件和合同的规定履行义务，保质保量完成项目内容，不得将项目整体或分解后向他人转让。</w:t>
      </w:r>
    </w:p>
    <w:p w14:paraId="3128923E">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2．询价文件、报价文件</w:t>
      </w:r>
      <w:r>
        <w:rPr>
          <w:rFonts w:hint="eastAsia" w:ascii="宋体" w:hAnsi="宋体"/>
          <w:sz w:val="24"/>
          <w:szCs w:val="24"/>
          <w:lang w:val="en-US" w:eastAsia="zh-CN"/>
        </w:rPr>
        <w:t>及承诺函</w:t>
      </w:r>
      <w:r>
        <w:rPr>
          <w:rFonts w:hint="eastAsia" w:ascii="宋体" w:hAnsi="宋体"/>
          <w:sz w:val="24"/>
          <w:szCs w:val="24"/>
        </w:rPr>
        <w:t>均为合同附件，具有同等法律效力，当合同内容与上述文件内容发生冲突时，以合同文本为准。</w:t>
      </w:r>
    </w:p>
    <w:p w14:paraId="6B9559E8">
      <w:pPr>
        <w:adjustRightInd w:val="0"/>
        <w:spacing w:line="460" w:lineRule="exact"/>
        <w:ind w:firstLine="480" w:firstLineChars="200"/>
        <w:contextualSpacing/>
        <w:rPr>
          <w:rFonts w:hint="default" w:ascii="宋体" w:hAnsi="宋体" w:eastAsia="宋体"/>
          <w:sz w:val="24"/>
          <w:szCs w:val="24"/>
          <w:lang w:val="en-US" w:eastAsia="zh-CN"/>
        </w:rPr>
      </w:pPr>
      <w:r>
        <w:rPr>
          <w:rFonts w:hint="eastAsia" w:ascii="宋体" w:hAnsi="宋体"/>
          <w:sz w:val="24"/>
          <w:szCs w:val="24"/>
          <w:lang w:val="en-US" w:eastAsia="zh-CN"/>
        </w:rPr>
        <w:t>3.必要时，成交供应商在签订合同前需提供与项目相关其他证明材料（包括但不限于业绩证明、依法纳税记录、信用证明、产品质量检测报告等）。</w:t>
      </w:r>
    </w:p>
    <w:p w14:paraId="37AB35CC">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．本询价文件的解释权在南京财经大学红山学院招投标工作小组。</w:t>
      </w:r>
    </w:p>
    <w:p w14:paraId="709AE0E6">
      <w:pPr>
        <w:adjustRightInd w:val="0"/>
        <w:spacing w:line="460" w:lineRule="exact"/>
        <w:ind w:firstLine="480" w:firstLineChars="200"/>
        <w:contextualSpacing/>
        <w:rPr>
          <w:rFonts w:hint="default" w:ascii="宋体" w:hAnsi="宋体" w:eastAsia="宋体"/>
          <w:b/>
          <w:bCs/>
          <w:sz w:val="24"/>
          <w:szCs w:val="24"/>
          <w:lang w:val="en-US" w:eastAsia="zh-CN"/>
        </w:rPr>
      </w:pPr>
      <w:r>
        <w:rPr>
          <w:rFonts w:hint="eastAsia" w:ascii="宋体" w:hAnsi="宋体"/>
          <w:b/>
          <w:bCs/>
          <w:sz w:val="24"/>
          <w:szCs w:val="24"/>
          <w:lang w:val="en-US" w:eastAsia="zh-CN"/>
        </w:rPr>
        <w:t>十三：联系方式：</w:t>
      </w:r>
    </w:p>
    <w:p w14:paraId="76D340CB">
      <w:pPr>
        <w:adjustRightInd w:val="0"/>
        <w:spacing w:line="460" w:lineRule="exact"/>
        <w:ind w:firstLine="480" w:firstLineChars="200"/>
        <w:contextualSpacing/>
        <w:rPr>
          <w:rFonts w:hint="eastAsia" w:ascii="宋体" w:hAnsi="宋体"/>
          <w:b w:val="0"/>
          <w:bCs/>
          <w:sz w:val="24"/>
          <w:szCs w:val="24"/>
        </w:rPr>
      </w:pPr>
      <w:bookmarkStart w:id="0" w:name="_GoBack"/>
      <w:r>
        <w:rPr>
          <w:rFonts w:hint="eastAsia" w:ascii="宋体" w:hAnsi="宋体"/>
          <w:b w:val="0"/>
          <w:bCs/>
          <w:sz w:val="24"/>
          <w:szCs w:val="24"/>
          <w:lang w:val="en-US" w:eastAsia="zh-CN"/>
        </w:rPr>
        <w:t>商务咨询</w:t>
      </w:r>
      <w:r>
        <w:rPr>
          <w:rFonts w:hint="eastAsia" w:ascii="宋体" w:hAnsi="宋体"/>
          <w:b w:val="0"/>
          <w:bCs/>
          <w:sz w:val="24"/>
          <w:szCs w:val="24"/>
        </w:rPr>
        <w:t>：</w:t>
      </w:r>
      <w:r>
        <w:rPr>
          <w:rFonts w:hint="eastAsia" w:ascii="宋体" w:hAnsi="宋体"/>
          <w:b w:val="0"/>
          <w:bCs/>
          <w:sz w:val="24"/>
          <w:szCs w:val="24"/>
          <w:lang w:val="en-US" w:eastAsia="zh-CN"/>
        </w:rPr>
        <w:t>徐</w:t>
      </w:r>
      <w:r>
        <w:rPr>
          <w:rFonts w:hint="eastAsia" w:ascii="宋体" w:hAnsi="宋体"/>
          <w:b w:val="0"/>
          <w:bCs/>
          <w:sz w:val="24"/>
          <w:szCs w:val="24"/>
        </w:rPr>
        <w:t>老师</w:t>
      </w:r>
      <w:r>
        <w:rPr>
          <w:rFonts w:hint="eastAsia" w:ascii="宋体" w:hAnsi="宋体"/>
          <w:b w:val="0"/>
          <w:bCs/>
          <w:sz w:val="24"/>
          <w:szCs w:val="24"/>
          <w:lang w:val="en-US" w:eastAsia="zh-CN"/>
        </w:rPr>
        <w:t xml:space="preserve"> 18551677824；</w:t>
      </w:r>
    </w:p>
    <w:p w14:paraId="13BF51DF">
      <w:pPr>
        <w:adjustRightInd w:val="0"/>
        <w:spacing w:line="460" w:lineRule="exact"/>
        <w:ind w:firstLine="480" w:firstLineChars="200"/>
        <w:contextualSpacing/>
        <w:rPr>
          <w:rFonts w:hint="default" w:ascii="宋体" w:hAnsi="宋体" w:eastAsia="宋体"/>
          <w:b w:val="0"/>
          <w:bCs/>
          <w:sz w:val="24"/>
          <w:szCs w:val="24"/>
          <w:lang w:val="en-US" w:eastAsia="zh-CN"/>
        </w:rPr>
      </w:pPr>
      <w:r>
        <w:rPr>
          <w:rFonts w:hint="eastAsia" w:ascii="宋体" w:hAnsi="宋体" w:eastAsia="宋体"/>
          <w:b w:val="0"/>
          <w:bCs/>
          <w:sz w:val="24"/>
          <w:szCs w:val="24"/>
          <w:lang w:val="en-US" w:eastAsia="zh-CN"/>
        </w:rPr>
        <w:t>技术咨询：</w:t>
      </w:r>
      <w:r>
        <w:rPr>
          <w:rFonts w:hint="eastAsia" w:ascii="宋体" w:hAnsi="宋体"/>
          <w:b w:val="0"/>
          <w:bCs/>
          <w:sz w:val="24"/>
          <w:szCs w:val="24"/>
          <w:lang w:val="en-US" w:eastAsia="zh-CN"/>
        </w:rPr>
        <w:t>王</w:t>
      </w:r>
      <w:r>
        <w:rPr>
          <w:rFonts w:hint="eastAsia" w:ascii="宋体" w:hAnsi="宋体" w:eastAsia="宋体"/>
          <w:b w:val="0"/>
          <w:bCs/>
          <w:sz w:val="24"/>
          <w:szCs w:val="24"/>
          <w:lang w:val="en-US" w:eastAsia="zh-CN"/>
        </w:rPr>
        <w:t xml:space="preserve">老师 </w:t>
      </w:r>
      <w:r>
        <w:rPr>
          <w:rFonts w:hint="eastAsia" w:ascii="宋体" w:hAnsi="宋体"/>
          <w:b w:val="0"/>
          <w:bCs/>
          <w:sz w:val="24"/>
          <w:szCs w:val="24"/>
          <w:lang w:val="en-US" w:eastAsia="zh-CN"/>
        </w:rPr>
        <w:t>18861096681。</w:t>
      </w:r>
    </w:p>
    <w:bookmarkEnd w:id="0"/>
    <w:p w14:paraId="2C522AE2">
      <w:pPr>
        <w:tabs>
          <w:tab w:val="right" w:pos="9354"/>
        </w:tabs>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附件</w:t>
      </w:r>
      <w:r>
        <w:rPr>
          <w:rFonts w:hint="eastAsia" w:ascii="宋体" w:hAnsi="宋体"/>
          <w:sz w:val="24"/>
          <w:szCs w:val="24"/>
          <w:lang w:val="en-US" w:eastAsia="zh-CN"/>
        </w:rPr>
        <w:t>1</w:t>
      </w:r>
      <w:r>
        <w:rPr>
          <w:rFonts w:hint="eastAsia" w:ascii="宋体" w:hAnsi="宋体"/>
          <w:sz w:val="24"/>
          <w:szCs w:val="24"/>
        </w:rPr>
        <w:t>：报价单</w:t>
      </w:r>
      <w:r>
        <w:rPr>
          <w:rFonts w:ascii="宋体" w:hAnsi="宋体"/>
          <w:sz w:val="24"/>
          <w:szCs w:val="24"/>
        </w:rPr>
        <w:tab/>
      </w:r>
    </w:p>
    <w:p w14:paraId="065EBE42">
      <w:pPr>
        <w:adjustRightInd w:val="0"/>
        <w:spacing w:line="460" w:lineRule="exact"/>
        <w:ind w:left="420" w:leftChars="200" w:firstLine="480" w:firstLineChars="200"/>
        <w:contextualSpacing/>
        <w:jc w:val="right"/>
        <w:rPr>
          <w:rFonts w:hint="eastAsia" w:ascii="宋体" w:hAnsi="宋体"/>
          <w:sz w:val="24"/>
          <w:szCs w:val="24"/>
        </w:rPr>
      </w:pPr>
    </w:p>
    <w:p w14:paraId="299F59BA">
      <w:pPr>
        <w:adjustRightInd w:val="0"/>
        <w:spacing w:line="460" w:lineRule="exact"/>
        <w:ind w:left="420" w:leftChars="200" w:firstLine="480" w:firstLineChars="200"/>
        <w:contextualSpacing/>
        <w:jc w:val="right"/>
        <w:rPr>
          <w:rFonts w:hint="eastAsia" w:ascii="宋体" w:hAnsi="宋体"/>
          <w:sz w:val="24"/>
          <w:szCs w:val="24"/>
        </w:rPr>
      </w:pPr>
    </w:p>
    <w:p w14:paraId="6F985B66">
      <w:pPr>
        <w:adjustRightInd w:val="0"/>
        <w:spacing w:line="460" w:lineRule="exact"/>
        <w:ind w:left="420" w:leftChars="200" w:firstLine="480" w:firstLineChars="200"/>
        <w:contextualSpacing/>
        <w:jc w:val="right"/>
        <w:rPr>
          <w:rFonts w:hint="eastAsia" w:ascii="宋体" w:hAnsi="宋体"/>
          <w:sz w:val="24"/>
          <w:szCs w:val="24"/>
        </w:rPr>
      </w:pPr>
      <w:r>
        <w:rPr>
          <w:rFonts w:hint="eastAsia" w:ascii="宋体" w:hAnsi="宋体"/>
          <w:sz w:val="24"/>
          <w:szCs w:val="24"/>
        </w:rPr>
        <w:t>南京财经大学红山学院</w:t>
      </w:r>
      <w:r>
        <w:rPr>
          <w:rFonts w:ascii="宋体" w:hAnsi="宋体"/>
          <w:sz w:val="24"/>
          <w:szCs w:val="24"/>
        </w:rPr>
        <w:t>招投标工作小组</w:t>
      </w:r>
    </w:p>
    <w:p w14:paraId="38ACF00B">
      <w:pPr>
        <w:adjustRightInd w:val="0"/>
        <w:spacing w:line="460" w:lineRule="exact"/>
        <w:ind w:left="420" w:leftChars="200" w:firstLine="480" w:firstLineChars="200"/>
        <w:contextualSpacing/>
        <w:jc w:val="right"/>
        <w:rPr>
          <w:rFonts w:hint="eastAsia" w:ascii="宋体" w:hAnsi="宋体"/>
          <w:sz w:val="24"/>
          <w:szCs w:val="24"/>
        </w:rPr>
      </w:pPr>
      <w:r>
        <w:rPr>
          <w:rFonts w:hint="eastAsia" w:ascii="宋体" w:hAnsi="宋体"/>
          <w:sz w:val="24"/>
          <w:szCs w:val="24"/>
        </w:rPr>
        <w:t>202</w:t>
      </w:r>
      <w:r>
        <w:rPr>
          <w:rFonts w:hint="eastAsia" w:ascii="宋体" w:hAnsi="宋体"/>
          <w:sz w:val="24"/>
          <w:szCs w:val="24"/>
          <w:lang w:val="en-US" w:eastAsia="zh-CN"/>
        </w:rPr>
        <w:t>5</w:t>
      </w:r>
      <w:r>
        <w:rPr>
          <w:rFonts w:hint="eastAsia" w:ascii="宋体" w:hAnsi="宋体"/>
          <w:sz w:val="24"/>
          <w:szCs w:val="24"/>
        </w:rPr>
        <w:t>年</w:t>
      </w:r>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30</w:t>
      </w:r>
      <w:r>
        <w:rPr>
          <w:rFonts w:hint="eastAsia" w:ascii="宋体" w:hAnsi="宋体"/>
          <w:sz w:val="24"/>
          <w:szCs w:val="24"/>
        </w:rPr>
        <w:t>日</w:t>
      </w:r>
    </w:p>
    <w:p w14:paraId="03971CE5">
      <w:pPr>
        <w:rPr>
          <w:rFonts w:hint="eastAsia" w:ascii="宋体" w:hAnsi="宋体"/>
          <w:sz w:val="24"/>
          <w:szCs w:val="24"/>
        </w:rPr>
        <w:sectPr>
          <w:headerReference r:id="rId3" w:type="default"/>
          <w:footerReference r:id="rId4" w:type="default"/>
          <w:footerReference r:id="rId5" w:type="even"/>
          <w:pgSz w:w="11906" w:h="16838"/>
          <w:pgMar w:top="1134" w:right="1418" w:bottom="1418" w:left="1134" w:header="851" w:footer="992" w:gutter="0"/>
          <w:pgNumType w:fmt="numberInDash"/>
          <w:cols w:space="425" w:num="1"/>
          <w:docGrid w:type="linesAndChars" w:linePitch="312" w:charSpace="0"/>
        </w:sectPr>
      </w:pPr>
    </w:p>
    <w:p w14:paraId="1A3A2243">
      <w:pPr>
        <w:tabs>
          <w:tab w:val="left" w:pos="368"/>
        </w:tabs>
        <w:spacing w:line="360" w:lineRule="auto"/>
        <w:jc w:val="left"/>
        <w:rPr>
          <w:rFonts w:hint="eastAsia" w:ascii="宋体" w:hAnsi="宋体" w:cs="宋体"/>
          <w:b/>
          <w:bCs/>
          <w:color w:val="auto"/>
          <w:sz w:val="21"/>
          <w:szCs w:val="21"/>
          <w:lang w:val="en-US" w:eastAsia="zh-CN"/>
        </w:rPr>
      </w:pPr>
      <w:r>
        <w:rPr>
          <w:rFonts w:hint="eastAsia" w:ascii="宋体" w:hAnsi="宋体"/>
          <w:sz w:val="21"/>
          <w:szCs w:val="21"/>
        </w:rPr>
        <w:t>附件</w:t>
      </w:r>
      <w:r>
        <w:rPr>
          <w:rFonts w:hint="eastAsia" w:ascii="宋体" w:hAnsi="宋体"/>
          <w:sz w:val="21"/>
          <w:szCs w:val="21"/>
          <w:lang w:val="en-US" w:eastAsia="zh-CN"/>
        </w:rPr>
        <w:t>1</w:t>
      </w:r>
      <w:r>
        <w:rPr>
          <w:rFonts w:hint="eastAsia" w:ascii="宋体" w:hAnsi="宋体"/>
          <w:sz w:val="21"/>
          <w:szCs w:val="21"/>
        </w:rPr>
        <w:t>：报价单</w:t>
      </w:r>
    </w:p>
    <w:p w14:paraId="71A47FAA">
      <w:pPr>
        <w:spacing w:line="360" w:lineRule="auto"/>
        <w:ind w:firstLine="880" w:firstLineChars="200"/>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南京财经大学红山学院体育部会议室家具报价单</w:t>
      </w:r>
    </w:p>
    <w:p w14:paraId="5C32E588">
      <w:pPr>
        <w:spacing w:line="360" w:lineRule="auto"/>
        <w:ind w:firstLine="240" w:firstLineChars="100"/>
        <w:rPr>
          <w:rFonts w:hint="eastAsia" w:ascii="宋体" w:hAnsi="宋体" w:cs="宋体"/>
          <w:color w:val="auto"/>
          <w:sz w:val="24"/>
          <w:szCs w:val="24"/>
          <w:lang w:val="en-US" w:eastAsia="zh-CN"/>
        </w:rPr>
      </w:pPr>
    </w:p>
    <w:p w14:paraId="5525D2D8">
      <w:pPr>
        <w:spacing w:line="360" w:lineRule="auto"/>
        <w:ind w:firstLine="240" w:firstLineChars="100"/>
        <w:rPr>
          <w:rFonts w:hint="eastAsia" w:ascii="宋体" w:hAnsi="宋体" w:cs="宋体"/>
          <w:color w:val="auto"/>
          <w:sz w:val="24"/>
          <w:szCs w:val="24"/>
          <w:u w:val="single"/>
        </w:rPr>
      </w:pPr>
      <w:r>
        <w:rPr>
          <w:rFonts w:hint="eastAsia" w:ascii="宋体" w:hAnsi="宋体" w:cs="宋体"/>
          <w:color w:val="auto"/>
          <w:sz w:val="24"/>
          <w:szCs w:val="24"/>
          <w:lang w:val="en-US" w:eastAsia="zh-CN"/>
        </w:rPr>
        <w:t>供应商</w:t>
      </w:r>
      <w:r>
        <w:rPr>
          <w:rFonts w:hint="eastAsia" w:ascii="宋体" w:hAnsi="宋体" w:cs="宋体"/>
          <w:color w:val="auto"/>
          <w:sz w:val="24"/>
          <w:szCs w:val="24"/>
        </w:rPr>
        <w:t>名称：</w:t>
      </w:r>
      <w:r>
        <w:rPr>
          <w:rFonts w:hint="eastAsia" w:ascii="宋体" w:hAnsi="宋体" w:cs="宋体"/>
          <w:color w:val="auto"/>
          <w:sz w:val="24"/>
          <w:szCs w:val="24"/>
          <w:u w:val="single"/>
        </w:rPr>
        <w:t xml:space="preserve">（盖章）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法定代表人（授权代表）签字</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联系方式：</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日期</w:t>
      </w:r>
      <w:r>
        <w:rPr>
          <w:rFonts w:hint="eastAsia" w:ascii="宋体" w:hAnsi="宋体" w:cs="宋体"/>
          <w:color w:val="auto"/>
          <w:sz w:val="24"/>
          <w:szCs w:val="24"/>
          <w:u w:val="single"/>
        </w:rPr>
        <w:t xml:space="preserve">：          </w:t>
      </w:r>
    </w:p>
    <w:tbl>
      <w:tblPr>
        <w:tblStyle w:val="9"/>
        <w:tblpPr w:leftFromText="180" w:rightFromText="180" w:vertAnchor="text" w:horzAnchor="page" w:tblpX="880" w:tblpY="208"/>
        <w:tblOverlap w:val="never"/>
        <w:tblW w:w="149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953"/>
        <w:gridCol w:w="1185"/>
        <w:gridCol w:w="5040"/>
        <w:gridCol w:w="855"/>
        <w:gridCol w:w="1170"/>
        <w:gridCol w:w="1320"/>
        <w:gridCol w:w="2216"/>
        <w:gridCol w:w="2216"/>
      </w:tblGrid>
      <w:tr w14:paraId="10766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540" w:hRule="atLeast"/>
          <w:jc w:val="center"/>
        </w:trPr>
        <w:tc>
          <w:tcPr>
            <w:tcW w:w="953" w:type="dxa"/>
            <w:tcBorders>
              <w:tl2br w:val="nil"/>
              <w:tr2bl w:val="nil"/>
            </w:tcBorders>
            <w:shd w:val="clear" w:color="auto" w:fill="auto"/>
            <w:vAlign w:val="center"/>
          </w:tcPr>
          <w:p w14:paraId="2B8F0DD4">
            <w:pPr>
              <w:spacing w:line="480" w:lineRule="exact"/>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序号</w:t>
            </w:r>
          </w:p>
        </w:tc>
        <w:tc>
          <w:tcPr>
            <w:tcW w:w="1185" w:type="dxa"/>
            <w:tcBorders>
              <w:tl2br w:val="nil"/>
              <w:tr2bl w:val="nil"/>
            </w:tcBorders>
            <w:shd w:val="clear" w:color="auto" w:fill="auto"/>
            <w:vAlign w:val="center"/>
          </w:tcPr>
          <w:p w14:paraId="47C46E06">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rPr>
              <w:t>项目名称</w:t>
            </w:r>
          </w:p>
        </w:tc>
        <w:tc>
          <w:tcPr>
            <w:tcW w:w="5040" w:type="dxa"/>
            <w:tcBorders>
              <w:tl2br w:val="nil"/>
              <w:tr2bl w:val="nil"/>
            </w:tcBorders>
            <w:shd w:val="clear" w:color="auto" w:fill="auto"/>
            <w:vAlign w:val="center"/>
          </w:tcPr>
          <w:p w14:paraId="0B9E1297">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lang w:val="en-US" w:eastAsia="zh-CN"/>
              </w:rPr>
              <w:t>规格</w:t>
            </w:r>
          </w:p>
          <w:p w14:paraId="0B36CAD8">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lang w:val="en-US" w:eastAsia="zh-CN"/>
              </w:rPr>
              <w:t>材质说明</w:t>
            </w:r>
          </w:p>
        </w:tc>
        <w:tc>
          <w:tcPr>
            <w:tcW w:w="855" w:type="dxa"/>
            <w:tcBorders>
              <w:tl2br w:val="nil"/>
              <w:tr2bl w:val="nil"/>
            </w:tcBorders>
            <w:shd w:val="clear" w:color="auto" w:fill="auto"/>
            <w:vAlign w:val="center"/>
          </w:tcPr>
          <w:p w14:paraId="62ED81D8">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lang w:val="en-US" w:eastAsia="zh-CN"/>
              </w:rPr>
              <w:t>数量</w:t>
            </w:r>
          </w:p>
        </w:tc>
        <w:tc>
          <w:tcPr>
            <w:tcW w:w="1170" w:type="dxa"/>
            <w:tcBorders>
              <w:tl2br w:val="nil"/>
              <w:tr2bl w:val="nil"/>
            </w:tcBorders>
            <w:shd w:val="clear" w:color="auto" w:fill="auto"/>
            <w:vAlign w:val="center"/>
          </w:tcPr>
          <w:p w14:paraId="469CF430">
            <w:pPr>
              <w:spacing w:line="480" w:lineRule="exact"/>
              <w:jc w:val="center"/>
              <w:rPr>
                <w:rFonts w:hint="eastAsia" w:ascii="宋体" w:hAnsi="宋体" w:eastAsia="宋体" w:cs="宋体"/>
                <w:i w:val="0"/>
                <w:color w:val="000000"/>
                <w:sz w:val="24"/>
                <w:szCs w:val="24"/>
                <w:u w:val="none"/>
                <w:lang w:eastAsia="zh-CN"/>
              </w:rPr>
            </w:pPr>
            <w:r>
              <w:rPr>
                <w:rFonts w:hint="eastAsia" w:ascii="宋体" w:hAnsi="宋体" w:cs="宋体"/>
                <w:color w:val="auto"/>
                <w:highlight w:val="none"/>
                <w:lang w:val="en-US" w:eastAsia="zh-CN"/>
              </w:rPr>
              <w:t>单价</w:t>
            </w:r>
          </w:p>
        </w:tc>
        <w:tc>
          <w:tcPr>
            <w:tcW w:w="1320" w:type="dxa"/>
            <w:tcBorders>
              <w:tl2br w:val="nil"/>
              <w:tr2bl w:val="nil"/>
            </w:tcBorders>
            <w:shd w:val="clear" w:color="auto" w:fill="auto"/>
            <w:vAlign w:val="center"/>
          </w:tcPr>
          <w:p w14:paraId="7EC854C7">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lang w:val="en-US" w:eastAsia="zh-CN"/>
              </w:rPr>
              <w:t>金额</w:t>
            </w:r>
          </w:p>
        </w:tc>
        <w:tc>
          <w:tcPr>
            <w:tcW w:w="2216" w:type="dxa"/>
            <w:tcBorders>
              <w:tl2br w:val="nil"/>
              <w:tr2bl w:val="nil"/>
            </w:tcBorders>
            <w:shd w:val="clear" w:color="auto" w:fill="auto"/>
            <w:vAlign w:val="center"/>
          </w:tcPr>
          <w:p w14:paraId="7C1F9ED2">
            <w:pPr>
              <w:spacing w:line="480" w:lineRule="exact"/>
              <w:jc w:val="center"/>
              <w:rPr>
                <w:rFonts w:hint="eastAsia" w:ascii="宋体" w:hAnsi="宋体" w:eastAsia="宋体" w:cs="宋体"/>
                <w:i w:val="0"/>
                <w:color w:val="000000"/>
                <w:sz w:val="24"/>
                <w:szCs w:val="24"/>
                <w:u w:val="none"/>
              </w:rPr>
            </w:pPr>
            <w:r>
              <w:rPr>
                <w:rFonts w:hint="eastAsia" w:ascii="宋体" w:hAnsi="宋体" w:cs="宋体"/>
                <w:color w:val="auto"/>
                <w:highlight w:val="none"/>
                <w:lang w:val="en-US" w:eastAsia="zh-CN"/>
              </w:rPr>
              <w:t>参考照片</w:t>
            </w:r>
          </w:p>
        </w:tc>
        <w:tc>
          <w:tcPr>
            <w:tcW w:w="2216" w:type="dxa"/>
            <w:tcBorders>
              <w:tl2br w:val="nil"/>
              <w:tr2bl w:val="nil"/>
            </w:tcBorders>
            <w:shd w:val="clear" w:color="auto" w:fill="auto"/>
            <w:vAlign w:val="center"/>
          </w:tcPr>
          <w:p w14:paraId="66EF0AF7">
            <w:pPr>
              <w:spacing w:line="480" w:lineRule="exact"/>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备注</w:t>
            </w:r>
          </w:p>
        </w:tc>
      </w:tr>
      <w:tr w14:paraId="2A27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3315" w:hRule="atLeast"/>
          <w:jc w:val="center"/>
        </w:trPr>
        <w:tc>
          <w:tcPr>
            <w:tcW w:w="953" w:type="dxa"/>
            <w:tcBorders>
              <w:tl2br w:val="nil"/>
              <w:tr2bl w:val="nil"/>
            </w:tcBorders>
            <w:shd w:val="clear" w:color="auto" w:fill="auto"/>
            <w:vAlign w:val="center"/>
          </w:tcPr>
          <w:p w14:paraId="36D77E47">
            <w:pPr>
              <w:spacing w:line="480" w:lineRule="exact"/>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1185" w:type="dxa"/>
            <w:tcBorders>
              <w:tl2br w:val="nil"/>
              <w:tr2bl w:val="nil"/>
            </w:tcBorders>
            <w:shd w:val="clear" w:color="auto" w:fill="auto"/>
            <w:vAlign w:val="center"/>
          </w:tcPr>
          <w:p w14:paraId="6DC1F0AB">
            <w:pPr>
              <w:jc w:val="center"/>
              <w:rPr>
                <w:rFonts w:hint="eastAsia" w:ascii="宋体" w:hAnsi="宋体" w:eastAsia="宋体" w:cs="宋体"/>
                <w:i w:val="0"/>
                <w:color w:val="000000"/>
                <w:sz w:val="24"/>
                <w:szCs w:val="24"/>
                <w:u w:val="none"/>
              </w:rPr>
            </w:pPr>
            <w:r>
              <w:rPr>
                <w:rFonts w:hint="eastAsia"/>
                <w:vertAlign w:val="baseline"/>
                <w:lang w:val="en-US" w:eastAsia="zh-CN"/>
              </w:rPr>
              <w:t>会议桌</w:t>
            </w:r>
          </w:p>
        </w:tc>
        <w:tc>
          <w:tcPr>
            <w:tcW w:w="5040" w:type="dxa"/>
            <w:tcBorders>
              <w:tl2br w:val="nil"/>
              <w:tr2bl w:val="nil"/>
            </w:tcBorders>
            <w:shd w:val="clear" w:color="auto" w:fill="auto"/>
            <w:vAlign w:val="center"/>
          </w:tcPr>
          <w:p w14:paraId="6FC814FD">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1.3600W*1500D*750H</w:t>
            </w:r>
          </w:p>
          <w:p w14:paraId="25703E2E">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2.饰面：采用</w:t>
            </w:r>
            <w:r>
              <w:rPr>
                <w:rFonts w:hint="eastAsia" w:ascii="宋体" w:hAnsi="宋体" w:eastAsia="宋体" w:cs="宋体"/>
                <w:b w:val="0"/>
                <w:bCs/>
                <w:color w:val="auto"/>
                <w:sz w:val="21"/>
                <w:szCs w:val="21"/>
                <w:highlight w:val="none"/>
                <w:vertAlign w:val="baseline"/>
                <w:lang w:eastAsia="zh-CN"/>
              </w:rPr>
              <w:t>天叶</w:t>
            </w:r>
            <w:r>
              <w:rPr>
                <w:rFonts w:hint="eastAsia" w:ascii="宋体" w:hAnsi="宋体" w:eastAsia="宋体" w:cs="宋体"/>
                <w:b w:val="0"/>
                <w:bCs/>
                <w:color w:val="auto"/>
                <w:sz w:val="21"/>
                <w:szCs w:val="21"/>
                <w:highlight w:val="none"/>
                <w:vertAlign w:val="baseline"/>
                <w:lang w:val="en-US" w:eastAsia="zh-CN"/>
              </w:rPr>
              <w:t>/</w:t>
            </w:r>
            <w:r>
              <w:rPr>
                <w:rFonts w:hint="eastAsia" w:ascii="宋体" w:hAnsi="宋体" w:eastAsia="宋体" w:cs="宋体"/>
                <w:b w:val="0"/>
                <w:bCs/>
                <w:color w:val="auto"/>
                <w:sz w:val="21"/>
                <w:szCs w:val="21"/>
                <w:highlight w:val="none"/>
                <w:vertAlign w:val="baseline"/>
                <w:lang w:eastAsia="zh-CN"/>
              </w:rPr>
              <w:t>福人板材</w:t>
            </w:r>
            <w:r>
              <w:rPr>
                <w:rFonts w:hint="eastAsia" w:ascii="宋体" w:hAnsi="宋体" w:eastAsia="宋体" w:cs="宋体"/>
                <w:b w:val="0"/>
                <w:bCs/>
                <w:color w:val="auto"/>
                <w:sz w:val="21"/>
                <w:szCs w:val="21"/>
                <w:highlight w:val="none"/>
                <w:vertAlign w:val="baseline"/>
                <w:lang w:val="en-US" w:eastAsia="zh-CN"/>
              </w:rPr>
              <w:t>/</w:t>
            </w:r>
            <w:r>
              <w:rPr>
                <w:rFonts w:hint="eastAsia" w:ascii="宋体" w:hAnsi="宋体" w:eastAsia="宋体" w:cs="宋体"/>
                <w:b w:val="0"/>
                <w:bCs/>
                <w:color w:val="auto"/>
                <w:sz w:val="21"/>
                <w:szCs w:val="21"/>
                <w:highlight w:val="none"/>
                <w:vertAlign w:val="baseline"/>
                <w:lang w:eastAsia="zh-CN"/>
              </w:rPr>
              <w:t>吉林露水河</w:t>
            </w:r>
            <w:r>
              <w:rPr>
                <w:rFonts w:hint="eastAsia" w:ascii="宋体" w:hAnsi="宋体" w:eastAsia="宋体" w:cs="宋体"/>
                <w:b w:val="0"/>
                <w:bCs/>
                <w:color w:val="auto"/>
                <w:sz w:val="21"/>
                <w:szCs w:val="21"/>
                <w:highlight w:val="none"/>
                <w:vertAlign w:val="baseline"/>
                <w:lang w:val="en-US" w:eastAsia="zh-CN"/>
              </w:rPr>
              <w:t>三聚氰胺饰面板,具有防火、防潮、耐磨、硬度高、易去污,可长期保持台面整洁等优点。基材为≥E0级绿色环保刨花板。桌面厚度为50mm</w:t>
            </w:r>
          </w:p>
          <w:p w14:paraId="5F936991">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3.封边：2MM厚PVC同色封边。  </w:t>
            </w:r>
          </w:p>
          <w:p w14:paraId="031B98B0">
            <w:pPr>
              <w:keepNext w:val="0"/>
              <w:keepLines w:val="0"/>
              <w:pageBreakBefore w:val="0"/>
              <w:widowControl w:val="0"/>
              <w:kinsoku/>
              <w:wordWrap w:val="0"/>
              <w:overflowPunct/>
              <w:topLinePunct w:val="0"/>
              <w:autoSpaceDE/>
              <w:autoSpaceDN/>
              <w:bidi w:val="0"/>
              <w:adjustRightInd/>
              <w:snapToGrid/>
              <w:jc w:val="both"/>
              <w:textAlignment w:val="auto"/>
              <w:rPr>
                <w:rFonts w:hint="eastAsia" w:ascii="宋体" w:hAnsi="宋体" w:eastAsia="宋体" w:cs="宋体"/>
                <w:i w:val="0"/>
                <w:color w:val="000000"/>
                <w:sz w:val="24"/>
                <w:szCs w:val="24"/>
                <w:u w:val="none"/>
              </w:rPr>
            </w:pPr>
            <w:r>
              <w:rPr>
                <w:rFonts w:hint="eastAsia" w:ascii="宋体" w:hAnsi="宋体" w:eastAsia="宋体" w:cs="宋体"/>
                <w:b w:val="0"/>
                <w:bCs/>
                <w:color w:val="auto"/>
                <w:sz w:val="21"/>
                <w:szCs w:val="21"/>
                <w:highlight w:val="none"/>
                <w:vertAlign w:val="baseline"/>
                <w:lang w:val="en-US" w:eastAsia="zh-CN"/>
              </w:rPr>
              <w:t>4.五金配件：标配2个多功能线盒每个线盒包含一个5孔电源模块，1个VGA接口，一个网络模块和一个电话接口，台面中间为皮板，两端台面为木纹色。</w:t>
            </w:r>
          </w:p>
        </w:tc>
        <w:tc>
          <w:tcPr>
            <w:tcW w:w="855" w:type="dxa"/>
            <w:tcBorders>
              <w:tl2br w:val="nil"/>
              <w:tr2bl w:val="nil"/>
            </w:tcBorders>
            <w:shd w:val="clear" w:color="auto" w:fill="auto"/>
            <w:vAlign w:val="center"/>
          </w:tcPr>
          <w:p w14:paraId="109DBDFE">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hAnsi="宋体" w:cs="宋体"/>
                <w:i w:val="0"/>
                <w:color w:val="000000"/>
                <w:kern w:val="0"/>
                <w:sz w:val="24"/>
                <w:szCs w:val="24"/>
                <w:u w:val="none"/>
                <w:lang w:val="en-US" w:eastAsia="zh-CN" w:bidi="ar"/>
              </w:rPr>
              <w:t>1</w:t>
            </w:r>
          </w:p>
        </w:tc>
        <w:tc>
          <w:tcPr>
            <w:tcW w:w="1170" w:type="dxa"/>
            <w:tcBorders>
              <w:tl2br w:val="nil"/>
              <w:tr2bl w:val="nil"/>
            </w:tcBorders>
            <w:shd w:val="clear" w:color="auto" w:fill="auto"/>
            <w:vAlign w:val="center"/>
          </w:tcPr>
          <w:p w14:paraId="0EAE3C69">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320" w:type="dxa"/>
            <w:tcBorders>
              <w:tl2br w:val="nil"/>
              <w:tr2bl w:val="nil"/>
            </w:tcBorders>
            <w:shd w:val="clear" w:color="auto" w:fill="auto"/>
            <w:vAlign w:val="center"/>
          </w:tcPr>
          <w:p w14:paraId="6BC96C3A">
            <w:pPr>
              <w:jc w:val="center"/>
              <w:rPr>
                <w:rFonts w:hint="eastAsia" w:ascii="宋体" w:hAnsi="宋体" w:eastAsia="宋体" w:cs="宋体"/>
                <w:i w:val="0"/>
                <w:color w:val="000000"/>
                <w:sz w:val="24"/>
                <w:szCs w:val="24"/>
                <w:u w:val="none"/>
              </w:rPr>
            </w:pPr>
          </w:p>
        </w:tc>
        <w:tc>
          <w:tcPr>
            <w:tcW w:w="2216" w:type="dxa"/>
            <w:tcBorders>
              <w:tl2br w:val="nil"/>
              <w:tr2bl w:val="nil"/>
            </w:tcBorders>
            <w:shd w:val="clear" w:color="auto" w:fill="auto"/>
            <w:vAlign w:val="center"/>
          </w:tcPr>
          <w:p w14:paraId="7B3E14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highlight w:val="none"/>
              </w:rPr>
              <w:drawing>
                <wp:inline distT="0" distB="0" distL="114300" distR="114300">
                  <wp:extent cx="1597660" cy="111252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597660" cy="1112520"/>
                          </a:xfrm>
                          <a:prstGeom prst="rect">
                            <a:avLst/>
                          </a:prstGeom>
                          <a:noFill/>
                          <a:ln>
                            <a:noFill/>
                          </a:ln>
                        </pic:spPr>
                      </pic:pic>
                    </a:graphicData>
                  </a:graphic>
                </wp:inline>
              </w:drawing>
            </w:r>
          </w:p>
        </w:tc>
        <w:tc>
          <w:tcPr>
            <w:tcW w:w="2216" w:type="dxa"/>
            <w:vMerge w:val="restart"/>
            <w:tcBorders>
              <w:tl2br w:val="nil"/>
              <w:tr2bl w:val="nil"/>
            </w:tcBorders>
            <w:shd w:val="clear" w:color="auto" w:fill="auto"/>
            <w:vAlign w:val="center"/>
          </w:tcPr>
          <w:p w14:paraId="6EFC3F85">
            <w:pPr>
              <w:keepNext w:val="0"/>
              <w:keepLines w:val="0"/>
              <w:widowControl/>
              <w:suppressLineNumbers w:val="0"/>
              <w:jc w:val="center"/>
              <w:textAlignment w:val="center"/>
              <w:rPr>
                <w:rFonts w:hint="default" w:ascii="宋体" w:hAnsi="宋体" w:eastAsia="宋体" w:cs="宋体"/>
                <w:color w:val="FF0000"/>
                <w:highlight w:val="none"/>
                <w:lang w:val="en-US" w:eastAsia="zh-CN"/>
              </w:rPr>
            </w:pPr>
          </w:p>
        </w:tc>
      </w:tr>
      <w:tr w14:paraId="51240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2474" w:hRule="atLeast"/>
          <w:jc w:val="center"/>
        </w:trPr>
        <w:tc>
          <w:tcPr>
            <w:tcW w:w="953" w:type="dxa"/>
            <w:tcBorders>
              <w:tl2br w:val="nil"/>
              <w:tr2bl w:val="nil"/>
            </w:tcBorders>
            <w:shd w:val="clear" w:color="auto" w:fill="auto"/>
            <w:vAlign w:val="center"/>
          </w:tcPr>
          <w:p w14:paraId="758A6B48">
            <w:pPr>
              <w:spacing w:line="480" w:lineRule="exact"/>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2</w:t>
            </w:r>
          </w:p>
        </w:tc>
        <w:tc>
          <w:tcPr>
            <w:tcW w:w="1185" w:type="dxa"/>
            <w:tcBorders>
              <w:tl2br w:val="nil"/>
              <w:tr2bl w:val="nil"/>
            </w:tcBorders>
            <w:shd w:val="clear" w:color="auto" w:fill="auto"/>
            <w:vAlign w:val="center"/>
          </w:tcPr>
          <w:p w14:paraId="343600ED">
            <w:pPr>
              <w:jc w:val="center"/>
              <w:rPr>
                <w:rFonts w:hint="eastAsia" w:ascii="宋体" w:hAnsi="宋体" w:cs="宋体"/>
                <w:color w:val="auto"/>
                <w:highlight w:val="none"/>
                <w:lang w:val="en-US" w:eastAsia="zh-CN"/>
              </w:rPr>
            </w:pPr>
            <w:r>
              <w:rPr>
                <w:rFonts w:hint="eastAsia"/>
                <w:vertAlign w:val="baseline"/>
                <w:lang w:val="en-US" w:eastAsia="zh-CN"/>
              </w:rPr>
              <w:t>长条桌</w:t>
            </w:r>
          </w:p>
        </w:tc>
        <w:tc>
          <w:tcPr>
            <w:tcW w:w="5040" w:type="dxa"/>
            <w:tcBorders>
              <w:tl2br w:val="nil"/>
              <w:tr2bl w:val="nil"/>
            </w:tcBorders>
            <w:shd w:val="clear" w:color="auto" w:fill="auto"/>
            <w:vAlign w:val="center"/>
          </w:tcPr>
          <w:p w14:paraId="7276B331">
            <w:pPr>
              <w:jc w:val="left"/>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1.1200W*400D*750H</w:t>
            </w:r>
          </w:p>
          <w:p w14:paraId="4603E3D4">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vertAlign w:val="baseline"/>
                <w:lang w:val="en-US" w:eastAsia="zh-CN"/>
              </w:rPr>
              <w:t>2.饰面：</w:t>
            </w:r>
            <w:r>
              <w:rPr>
                <w:rFonts w:hint="eastAsia" w:ascii="宋体" w:hAnsi="宋体" w:eastAsia="宋体" w:cs="宋体"/>
                <w:b w:val="0"/>
                <w:bCs/>
                <w:color w:val="auto"/>
                <w:sz w:val="21"/>
                <w:szCs w:val="21"/>
                <w:highlight w:val="none"/>
                <w:vertAlign w:val="baseline"/>
                <w:lang w:val="en-US" w:eastAsia="zh-CN"/>
              </w:rPr>
              <w:t>采用</w:t>
            </w:r>
            <w:r>
              <w:rPr>
                <w:rFonts w:hint="eastAsia" w:ascii="宋体" w:hAnsi="宋体" w:eastAsia="宋体" w:cs="宋体"/>
                <w:b w:val="0"/>
                <w:bCs/>
                <w:color w:val="auto"/>
                <w:sz w:val="21"/>
                <w:szCs w:val="21"/>
                <w:highlight w:val="none"/>
                <w:vertAlign w:val="baseline"/>
                <w:lang w:eastAsia="zh-CN"/>
              </w:rPr>
              <w:t>天叶</w:t>
            </w:r>
            <w:r>
              <w:rPr>
                <w:rFonts w:hint="eastAsia" w:ascii="宋体" w:hAnsi="宋体" w:eastAsia="宋体" w:cs="宋体"/>
                <w:b w:val="0"/>
                <w:bCs/>
                <w:color w:val="auto"/>
                <w:sz w:val="21"/>
                <w:szCs w:val="21"/>
                <w:highlight w:val="none"/>
                <w:vertAlign w:val="baseline"/>
                <w:lang w:val="en-US" w:eastAsia="zh-CN"/>
              </w:rPr>
              <w:t>/</w:t>
            </w:r>
            <w:r>
              <w:rPr>
                <w:rFonts w:hint="eastAsia" w:ascii="宋体" w:hAnsi="宋体" w:eastAsia="宋体" w:cs="宋体"/>
                <w:b w:val="0"/>
                <w:bCs/>
                <w:color w:val="auto"/>
                <w:sz w:val="21"/>
                <w:szCs w:val="21"/>
                <w:highlight w:val="none"/>
                <w:vertAlign w:val="baseline"/>
                <w:lang w:eastAsia="zh-CN"/>
              </w:rPr>
              <w:t>福人板材</w:t>
            </w:r>
            <w:r>
              <w:rPr>
                <w:rFonts w:hint="eastAsia" w:ascii="宋体" w:hAnsi="宋体" w:eastAsia="宋体" w:cs="宋体"/>
                <w:b w:val="0"/>
                <w:bCs/>
                <w:color w:val="auto"/>
                <w:sz w:val="21"/>
                <w:szCs w:val="21"/>
                <w:highlight w:val="none"/>
                <w:vertAlign w:val="baseline"/>
                <w:lang w:val="en-US" w:eastAsia="zh-CN"/>
              </w:rPr>
              <w:t>/</w:t>
            </w:r>
            <w:r>
              <w:rPr>
                <w:rFonts w:hint="eastAsia" w:ascii="宋体" w:hAnsi="宋体" w:eastAsia="宋体" w:cs="宋体"/>
                <w:b w:val="0"/>
                <w:bCs/>
                <w:color w:val="auto"/>
                <w:sz w:val="21"/>
                <w:szCs w:val="21"/>
                <w:highlight w:val="none"/>
                <w:vertAlign w:val="baseline"/>
                <w:lang w:eastAsia="zh-CN"/>
              </w:rPr>
              <w:t>吉林露水河</w:t>
            </w:r>
            <w:r>
              <w:rPr>
                <w:rFonts w:hint="eastAsia" w:ascii="宋体" w:hAnsi="宋体" w:eastAsia="宋体" w:cs="宋体"/>
                <w:b w:val="0"/>
                <w:bCs/>
                <w:color w:val="auto"/>
                <w:sz w:val="21"/>
                <w:szCs w:val="21"/>
                <w:highlight w:val="none"/>
                <w:vertAlign w:val="baseline"/>
                <w:lang w:val="en-US" w:eastAsia="zh-CN"/>
              </w:rPr>
              <w:t>三聚氰胺饰面板,具有防火、防潮、耐磨、硬度高、易去污,可长期保持台面整洁等优点。基材为≥E0级绿色环保刨花板。桌面厚度为25mm</w:t>
            </w:r>
          </w:p>
          <w:p w14:paraId="12D94E3B">
            <w:pPr>
              <w:numPr>
                <w:ilvl w:val="0"/>
                <w:numId w:val="0"/>
              </w:numPr>
              <w:tabs>
                <w:tab w:val="center" w:pos="2373"/>
                <w:tab w:val="left" w:pos="3754"/>
              </w:tabs>
              <w:adjustRightInd w:val="0"/>
              <w:snapToGrid w:val="0"/>
              <w:spacing w:line="300" w:lineRule="auto"/>
              <w:ind w:left="0" w:leftChars="0" w:firstLine="0" w:firstLineChars="0"/>
              <w:jc w:val="left"/>
              <w:rPr>
                <w:rFonts w:hint="eastAsia" w:ascii="宋体" w:hAnsi="宋体" w:eastAsia="宋体" w:cs="宋体"/>
                <w:i w:val="0"/>
                <w:color w:val="000000"/>
                <w:sz w:val="21"/>
                <w:szCs w:val="21"/>
                <w:u w:val="none"/>
              </w:rPr>
            </w:pPr>
            <w:r>
              <w:rPr>
                <w:rFonts w:hint="eastAsia" w:ascii="宋体" w:hAnsi="宋体" w:eastAsia="宋体" w:cs="宋体"/>
                <w:b w:val="0"/>
                <w:bCs/>
                <w:color w:val="auto"/>
                <w:sz w:val="21"/>
                <w:szCs w:val="21"/>
                <w:highlight w:val="none"/>
                <w:vertAlign w:val="baseline"/>
                <w:lang w:val="en-US" w:eastAsia="zh-CN"/>
              </w:rPr>
              <w:t>3.封边：2MM厚PVC同色封边。</w:t>
            </w:r>
          </w:p>
        </w:tc>
        <w:tc>
          <w:tcPr>
            <w:tcW w:w="855" w:type="dxa"/>
            <w:tcBorders>
              <w:tl2br w:val="nil"/>
              <w:tr2bl w:val="nil"/>
            </w:tcBorders>
            <w:shd w:val="clear" w:color="auto" w:fill="auto"/>
            <w:vAlign w:val="center"/>
          </w:tcPr>
          <w:p w14:paraId="4D58BB94">
            <w:pPr>
              <w:keepNext w:val="0"/>
              <w:keepLines w:val="0"/>
              <w:widowControl/>
              <w:suppressLineNumbers w:val="0"/>
              <w:jc w:val="center"/>
              <w:textAlignment w:val="center"/>
              <w:rPr>
                <w:rFonts w:hint="default"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w:t>
            </w:r>
          </w:p>
        </w:tc>
        <w:tc>
          <w:tcPr>
            <w:tcW w:w="1170" w:type="dxa"/>
            <w:tcBorders>
              <w:tl2br w:val="nil"/>
              <w:tr2bl w:val="nil"/>
            </w:tcBorders>
            <w:shd w:val="clear" w:color="auto" w:fill="auto"/>
            <w:vAlign w:val="center"/>
          </w:tcPr>
          <w:p w14:paraId="48D896A1">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320" w:type="dxa"/>
            <w:tcBorders>
              <w:tl2br w:val="nil"/>
              <w:tr2bl w:val="nil"/>
            </w:tcBorders>
            <w:shd w:val="clear" w:color="auto" w:fill="auto"/>
            <w:vAlign w:val="center"/>
          </w:tcPr>
          <w:p w14:paraId="697581D1">
            <w:pPr>
              <w:jc w:val="center"/>
              <w:rPr>
                <w:rFonts w:hint="eastAsia" w:ascii="宋体" w:hAnsi="宋体" w:eastAsia="宋体" w:cs="宋体"/>
                <w:i w:val="0"/>
                <w:color w:val="000000"/>
                <w:sz w:val="24"/>
                <w:szCs w:val="24"/>
                <w:u w:val="none"/>
              </w:rPr>
            </w:pPr>
          </w:p>
        </w:tc>
        <w:tc>
          <w:tcPr>
            <w:tcW w:w="2216" w:type="dxa"/>
            <w:tcBorders>
              <w:tl2br w:val="nil"/>
              <w:tr2bl w:val="nil"/>
            </w:tcBorders>
            <w:shd w:val="clear" w:color="auto" w:fill="auto"/>
            <w:vAlign w:val="center"/>
          </w:tcPr>
          <w:p w14:paraId="34FA3701">
            <w:pPr>
              <w:keepNext w:val="0"/>
              <w:keepLines w:val="0"/>
              <w:widowControl/>
              <w:suppressLineNumbers w:val="0"/>
              <w:jc w:val="center"/>
              <w:textAlignment w:val="center"/>
              <w:rPr>
                <w:rFonts w:hint="eastAsia" w:ascii="宋体" w:hAnsi="宋体" w:eastAsia="宋体" w:cs="宋体"/>
                <w:color w:val="FF0000"/>
                <w:highlight w:val="none"/>
                <w:lang w:val="en-US" w:eastAsia="zh-CN"/>
              </w:rPr>
            </w:pPr>
            <w:r>
              <w:drawing>
                <wp:inline distT="0" distB="0" distL="114300" distR="114300">
                  <wp:extent cx="1409065" cy="123825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rcRect l="24809" t="2695" r="24066" b="3198"/>
                          <a:stretch>
                            <a:fillRect/>
                          </a:stretch>
                        </pic:blipFill>
                        <pic:spPr>
                          <a:xfrm>
                            <a:off x="0" y="0"/>
                            <a:ext cx="1409065" cy="1238250"/>
                          </a:xfrm>
                          <a:prstGeom prst="rect">
                            <a:avLst/>
                          </a:prstGeom>
                          <a:noFill/>
                          <a:ln>
                            <a:noFill/>
                          </a:ln>
                        </pic:spPr>
                      </pic:pic>
                    </a:graphicData>
                  </a:graphic>
                </wp:inline>
              </w:drawing>
            </w:r>
          </w:p>
        </w:tc>
        <w:tc>
          <w:tcPr>
            <w:tcW w:w="2216" w:type="dxa"/>
            <w:vMerge w:val="continue"/>
            <w:tcBorders>
              <w:tl2br w:val="nil"/>
              <w:tr2bl w:val="nil"/>
            </w:tcBorders>
            <w:shd w:val="clear" w:color="auto" w:fill="auto"/>
            <w:vAlign w:val="center"/>
          </w:tcPr>
          <w:p w14:paraId="593AF9EC">
            <w:pPr>
              <w:keepNext w:val="0"/>
              <w:keepLines w:val="0"/>
              <w:widowControl/>
              <w:suppressLineNumbers w:val="0"/>
              <w:jc w:val="center"/>
              <w:textAlignment w:val="center"/>
              <w:rPr>
                <w:rFonts w:hint="eastAsia" w:ascii="宋体" w:hAnsi="宋体" w:eastAsia="宋体" w:cs="宋体"/>
                <w:color w:val="auto"/>
                <w:highlight w:val="none"/>
                <w:lang w:val="en-US" w:eastAsia="zh-CN"/>
              </w:rPr>
            </w:pPr>
          </w:p>
        </w:tc>
      </w:tr>
      <w:tr w14:paraId="58786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1742" w:hRule="atLeast"/>
          <w:jc w:val="center"/>
        </w:trPr>
        <w:tc>
          <w:tcPr>
            <w:tcW w:w="953" w:type="dxa"/>
            <w:tcBorders>
              <w:tl2br w:val="nil"/>
              <w:tr2bl w:val="nil"/>
            </w:tcBorders>
            <w:shd w:val="clear" w:color="auto" w:fill="auto"/>
            <w:vAlign w:val="center"/>
          </w:tcPr>
          <w:p w14:paraId="3FD62169">
            <w:pPr>
              <w:spacing w:line="480" w:lineRule="exact"/>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3</w:t>
            </w:r>
          </w:p>
        </w:tc>
        <w:tc>
          <w:tcPr>
            <w:tcW w:w="1185" w:type="dxa"/>
            <w:tcBorders>
              <w:tl2br w:val="nil"/>
              <w:tr2bl w:val="nil"/>
            </w:tcBorders>
            <w:shd w:val="clear" w:color="auto" w:fill="auto"/>
            <w:vAlign w:val="center"/>
          </w:tcPr>
          <w:p w14:paraId="3969E894">
            <w:pPr>
              <w:jc w:val="center"/>
              <w:rPr>
                <w:rFonts w:hint="eastAsia" w:ascii="宋体" w:hAnsi="宋体" w:cs="宋体"/>
                <w:color w:val="auto"/>
                <w:highlight w:val="none"/>
                <w:lang w:val="en-US" w:eastAsia="zh-CN"/>
              </w:rPr>
            </w:pPr>
            <w:r>
              <w:rPr>
                <w:rFonts w:hint="eastAsia"/>
                <w:vertAlign w:val="baseline"/>
                <w:lang w:val="en-US" w:eastAsia="zh-CN"/>
              </w:rPr>
              <w:t>办公椅</w:t>
            </w:r>
          </w:p>
        </w:tc>
        <w:tc>
          <w:tcPr>
            <w:tcW w:w="5040" w:type="dxa"/>
            <w:tcBorders>
              <w:tl2br w:val="nil"/>
              <w:tr2bl w:val="nil"/>
            </w:tcBorders>
            <w:shd w:val="clear" w:color="auto" w:fill="auto"/>
            <w:vAlign w:val="center"/>
          </w:tcPr>
          <w:p w14:paraId="720A7F85">
            <w:pPr>
              <w:numPr>
                <w:ilvl w:val="0"/>
                <w:numId w:val="0"/>
              </w:numPr>
              <w:tabs>
                <w:tab w:val="center" w:pos="2373"/>
                <w:tab w:val="left" w:pos="3754"/>
              </w:tabs>
              <w:adjustRightInd w:val="0"/>
              <w:snapToGrid w:val="0"/>
              <w:spacing w:line="300" w:lineRule="auto"/>
              <w:jc w:val="left"/>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·常规（弓字椅）</w:t>
            </w:r>
          </w:p>
          <w:p w14:paraId="2265598D">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·PP加纤维背架尼龙固定腰靠</w:t>
            </w:r>
          </w:p>
          <w:p w14:paraId="70FFD42F">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·PP分体固定扶手</w:t>
            </w:r>
          </w:p>
          <w:p w14:paraId="7B78C63B">
            <w:pPr>
              <w:numPr>
                <w:ilvl w:val="0"/>
                <w:numId w:val="0"/>
              </w:numPr>
              <w:tabs>
                <w:tab w:val="center" w:pos="2373"/>
                <w:tab w:val="left" w:pos="3754"/>
              </w:tabs>
              <w:adjustRightInd w:val="0"/>
              <w:snapToGrid w:val="0"/>
              <w:spacing w:line="300" w:lineRule="auto"/>
              <w:jc w:val="left"/>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·高弹力海绵</w:t>
            </w:r>
          </w:p>
          <w:p w14:paraId="1AE14060">
            <w:pPr>
              <w:jc w:val="both"/>
              <w:rPr>
                <w:rFonts w:hint="eastAsia" w:ascii="宋体" w:hAnsi="宋体" w:eastAsia="宋体" w:cs="宋体"/>
                <w:i w:val="0"/>
                <w:color w:val="000000"/>
                <w:sz w:val="21"/>
                <w:szCs w:val="21"/>
                <w:u w:val="none"/>
              </w:rPr>
            </w:pPr>
            <w:r>
              <w:rPr>
                <w:rFonts w:hint="eastAsia" w:ascii="宋体" w:hAnsi="宋体" w:eastAsia="宋体" w:cs="宋体"/>
                <w:b w:val="0"/>
                <w:bCs/>
                <w:color w:val="auto"/>
                <w:sz w:val="21"/>
                <w:szCs w:val="21"/>
                <w:highlight w:val="none"/>
                <w:vertAlign w:val="baseline"/>
                <w:lang w:val="en-US" w:eastAsia="zh-CN"/>
              </w:rPr>
              <w:t>·∮25管1.8厚黑色烤漆弓形架（双套管）</w:t>
            </w:r>
          </w:p>
        </w:tc>
        <w:tc>
          <w:tcPr>
            <w:tcW w:w="855" w:type="dxa"/>
            <w:tcBorders>
              <w:tl2br w:val="nil"/>
              <w:tr2bl w:val="nil"/>
            </w:tcBorders>
            <w:shd w:val="clear" w:color="auto" w:fill="auto"/>
            <w:vAlign w:val="center"/>
          </w:tcPr>
          <w:p w14:paraId="5F953FF7">
            <w:pPr>
              <w:keepNext w:val="0"/>
              <w:keepLines w:val="0"/>
              <w:widowControl/>
              <w:suppressLineNumbers w:val="0"/>
              <w:jc w:val="center"/>
              <w:textAlignment w:val="center"/>
              <w:rPr>
                <w:rFonts w:hint="default"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14</w:t>
            </w:r>
          </w:p>
        </w:tc>
        <w:tc>
          <w:tcPr>
            <w:tcW w:w="1170" w:type="dxa"/>
            <w:tcBorders>
              <w:tl2br w:val="nil"/>
              <w:tr2bl w:val="nil"/>
            </w:tcBorders>
            <w:shd w:val="clear" w:color="auto" w:fill="auto"/>
            <w:vAlign w:val="center"/>
          </w:tcPr>
          <w:p w14:paraId="69D7E512">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320" w:type="dxa"/>
            <w:tcBorders>
              <w:tl2br w:val="nil"/>
              <w:tr2bl w:val="nil"/>
            </w:tcBorders>
            <w:shd w:val="clear" w:color="auto" w:fill="auto"/>
            <w:vAlign w:val="center"/>
          </w:tcPr>
          <w:p w14:paraId="23DD122A">
            <w:pPr>
              <w:jc w:val="center"/>
              <w:rPr>
                <w:rFonts w:hint="eastAsia" w:ascii="宋体" w:hAnsi="宋体" w:eastAsia="宋体" w:cs="宋体"/>
                <w:i w:val="0"/>
                <w:color w:val="000000"/>
                <w:sz w:val="24"/>
                <w:szCs w:val="24"/>
                <w:u w:val="none"/>
              </w:rPr>
            </w:pPr>
          </w:p>
        </w:tc>
        <w:tc>
          <w:tcPr>
            <w:tcW w:w="2216" w:type="dxa"/>
            <w:tcBorders>
              <w:tl2br w:val="nil"/>
              <w:tr2bl w:val="nil"/>
            </w:tcBorders>
            <w:shd w:val="clear" w:color="auto" w:fill="auto"/>
            <w:vAlign w:val="center"/>
          </w:tcPr>
          <w:p w14:paraId="51E9A46C">
            <w:pPr>
              <w:keepNext w:val="0"/>
              <w:keepLines w:val="0"/>
              <w:widowControl/>
              <w:suppressLineNumbers w:val="0"/>
              <w:jc w:val="center"/>
              <w:textAlignment w:val="center"/>
              <w:rPr>
                <w:rFonts w:hint="eastAsia" w:ascii="宋体" w:hAnsi="宋体" w:eastAsia="宋体" w:cs="宋体"/>
                <w:color w:val="FF0000"/>
                <w:highlight w:val="none"/>
                <w:lang w:val="en-US" w:eastAsia="zh-CN"/>
              </w:rPr>
            </w:pPr>
            <w:r>
              <w:rPr>
                <w:highlight w:val="none"/>
              </w:rPr>
              <w:drawing>
                <wp:inline distT="0" distB="0" distL="114300" distR="114300">
                  <wp:extent cx="926465" cy="1153160"/>
                  <wp:effectExtent l="0" t="0" r="698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rcRect t="20456" r="3497"/>
                          <a:stretch>
                            <a:fillRect/>
                          </a:stretch>
                        </pic:blipFill>
                        <pic:spPr>
                          <a:xfrm>
                            <a:off x="0" y="0"/>
                            <a:ext cx="926465" cy="1153160"/>
                          </a:xfrm>
                          <a:prstGeom prst="rect">
                            <a:avLst/>
                          </a:prstGeom>
                          <a:noFill/>
                          <a:ln>
                            <a:noFill/>
                          </a:ln>
                        </pic:spPr>
                      </pic:pic>
                    </a:graphicData>
                  </a:graphic>
                </wp:inline>
              </w:drawing>
            </w:r>
          </w:p>
        </w:tc>
        <w:tc>
          <w:tcPr>
            <w:tcW w:w="2216" w:type="dxa"/>
            <w:vMerge w:val="continue"/>
            <w:tcBorders>
              <w:tl2br w:val="nil"/>
              <w:tr2bl w:val="nil"/>
            </w:tcBorders>
            <w:shd w:val="clear" w:color="auto" w:fill="auto"/>
            <w:vAlign w:val="center"/>
          </w:tcPr>
          <w:p w14:paraId="7E2F1C82">
            <w:pPr>
              <w:keepNext w:val="0"/>
              <w:keepLines w:val="0"/>
              <w:widowControl/>
              <w:suppressLineNumbers w:val="0"/>
              <w:jc w:val="center"/>
              <w:textAlignment w:val="center"/>
              <w:rPr>
                <w:rFonts w:hint="eastAsia" w:ascii="宋体" w:hAnsi="宋体" w:eastAsia="宋体" w:cs="宋体"/>
                <w:color w:val="auto"/>
                <w:highlight w:val="none"/>
                <w:lang w:val="en-US" w:eastAsia="zh-CN"/>
              </w:rPr>
            </w:pPr>
          </w:p>
        </w:tc>
      </w:tr>
      <w:tr w14:paraId="5F128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1400" w:hRule="atLeast"/>
          <w:jc w:val="center"/>
        </w:trPr>
        <w:tc>
          <w:tcPr>
            <w:tcW w:w="953" w:type="dxa"/>
            <w:tcBorders>
              <w:tl2br w:val="nil"/>
              <w:tr2bl w:val="nil"/>
            </w:tcBorders>
            <w:shd w:val="clear" w:color="auto" w:fill="auto"/>
            <w:vAlign w:val="center"/>
          </w:tcPr>
          <w:p w14:paraId="7BF99F25">
            <w:pPr>
              <w:spacing w:line="480" w:lineRule="exact"/>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4</w:t>
            </w:r>
          </w:p>
        </w:tc>
        <w:tc>
          <w:tcPr>
            <w:tcW w:w="1185" w:type="dxa"/>
            <w:tcBorders>
              <w:tl2br w:val="nil"/>
              <w:tr2bl w:val="nil"/>
            </w:tcBorders>
            <w:shd w:val="clear" w:color="auto" w:fill="auto"/>
            <w:vAlign w:val="center"/>
          </w:tcPr>
          <w:p w14:paraId="4ABF13DB">
            <w:pPr>
              <w:jc w:val="center"/>
              <w:rPr>
                <w:rFonts w:hint="eastAsia" w:ascii="宋体" w:hAnsi="宋体" w:eastAsia="宋体" w:cs="宋体"/>
                <w:i w:val="0"/>
                <w:color w:val="000000"/>
                <w:sz w:val="24"/>
                <w:szCs w:val="24"/>
                <w:u w:val="none"/>
              </w:rPr>
            </w:pPr>
            <w:r>
              <w:rPr>
                <w:rFonts w:hint="eastAsia"/>
                <w:vertAlign w:val="baseline"/>
                <w:lang w:val="en-US" w:eastAsia="zh-CN"/>
              </w:rPr>
              <w:t>会议椅</w:t>
            </w:r>
          </w:p>
        </w:tc>
        <w:tc>
          <w:tcPr>
            <w:tcW w:w="5040" w:type="dxa"/>
            <w:tcBorders>
              <w:tl2br w:val="nil"/>
              <w:tr2bl w:val="nil"/>
            </w:tcBorders>
            <w:shd w:val="clear" w:color="auto" w:fill="auto"/>
            <w:vAlign w:val="center"/>
          </w:tcPr>
          <w:p w14:paraId="11DEABDF">
            <w:pPr>
              <w:keepNext w:val="0"/>
              <w:keepLines w:val="0"/>
              <w:pageBreakBefore w:val="0"/>
              <w:widowControl w:val="0"/>
              <w:suppressLineNumbers w:val="0"/>
              <w:kinsoku w:val="0"/>
              <w:wordWrap w:val="0"/>
              <w:overflowPunct/>
              <w:topLinePunct w:val="0"/>
              <w:autoSpaceDE w:val="0"/>
              <w:autoSpaceDN w:val="0"/>
              <w:bidi w:val="0"/>
              <w:adjustRightInd/>
              <w:snapToGrid/>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·优质西皮</w:t>
            </w:r>
          </w:p>
          <w:p w14:paraId="66A4A21E">
            <w:pPr>
              <w:keepNext w:val="0"/>
              <w:keepLines w:val="0"/>
              <w:pageBreakBefore w:val="0"/>
              <w:widowControl w:val="0"/>
              <w:suppressLineNumbers w:val="0"/>
              <w:kinsoku w:val="0"/>
              <w:wordWrap w:val="0"/>
              <w:overflowPunct/>
              <w:topLinePunct w:val="0"/>
              <w:autoSpaceDE w:val="0"/>
              <w:autoSpaceDN w:val="0"/>
              <w:bidi w:val="0"/>
              <w:adjustRightInd/>
              <w:snapToGrid/>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·18mm厚内外弯板</w:t>
            </w:r>
          </w:p>
          <w:p w14:paraId="79338F0A">
            <w:pPr>
              <w:keepNext w:val="0"/>
              <w:keepLines w:val="0"/>
              <w:pageBreakBefore w:val="0"/>
              <w:widowControl w:val="0"/>
              <w:suppressLineNumbers w:val="0"/>
              <w:kinsoku w:val="0"/>
              <w:wordWrap w:val="0"/>
              <w:overflowPunct/>
              <w:topLinePunct w:val="0"/>
              <w:autoSpaceDE w:val="0"/>
              <w:autoSpaceDN w:val="0"/>
              <w:bidi w:val="0"/>
              <w:adjustRightInd/>
              <w:snapToGrid/>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·高弹力海绵</w:t>
            </w:r>
          </w:p>
          <w:p w14:paraId="79426C7D">
            <w:pPr>
              <w:jc w:val="both"/>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·1.8厚扁管电镀扶手连体弓形架配扪皮扶手面</w:t>
            </w:r>
          </w:p>
        </w:tc>
        <w:tc>
          <w:tcPr>
            <w:tcW w:w="855" w:type="dxa"/>
            <w:tcBorders>
              <w:tl2br w:val="nil"/>
              <w:tr2bl w:val="nil"/>
            </w:tcBorders>
            <w:shd w:val="clear" w:color="auto" w:fill="auto"/>
            <w:vAlign w:val="center"/>
          </w:tcPr>
          <w:p w14:paraId="23AB271A">
            <w:pPr>
              <w:keepNext w:val="0"/>
              <w:keepLines w:val="0"/>
              <w:widowControl/>
              <w:suppressLineNumbers w:val="0"/>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16</w:t>
            </w:r>
          </w:p>
        </w:tc>
        <w:tc>
          <w:tcPr>
            <w:tcW w:w="1170" w:type="dxa"/>
            <w:tcBorders>
              <w:tl2br w:val="nil"/>
              <w:tr2bl w:val="nil"/>
            </w:tcBorders>
            <w:shd w:val="clear" w:color="auto" w:fill="auto"/>
            <w:vAlign w:val="center"/>
          </w:tcPr>
          <w:p w14:paraId="77DB08A5">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320" w:type="dxa"/>
            <w:tcBorders>
              <w:tl2br w:val="nil"/>
              <w:tr2bl w:val="nil"/>
            </w:tcBorders>
            <w:shd w:val="clear" w:color="auto" w:fill="auto"/>
            <w:vAlign w:val="center"/>
          </w:tcPr>
          <w:p w14:paraId="148A33D1">
            <w:pPr>
              <w:jc w:val="center"/>
              <w:rPr>
                <w:rFonts w:hint="eastAsia" w:ascii="宋体" w:hAnsi="宋体" w:eastAsia="宋体" w:cs="宋体"/>
                <w:i w:val="0"/>
                <w:color w:val="000000"/>
                <w:sz w:val="24"/>
                <w:szCs w:val="24"/>
                <w:u w:val="none"/>
              </w:rPr>
            </w:pPr>
          </w:p>
        </w:tc>
        <w:tc>
          <w:tcPr>
            <w:tcW w:w="2216" w:type="dxa"/>
            <w:tcBorders>
              <w:tl2br w:val="nil"/>
              <w:tr2bl w:val="nil"/>
            </w:tcBorders>
            <w:shd w:val="clear" w:color="auto" w:fill="auto"/>
            <w:vAlign w:val="center"/>
          </w:tcPr>
          <w:p w14:paraId="7FA7CED0">
            <w:pPr>
              <w:jc w:val="center"/>
              <w:rPr>
                <w:rFonts w:hint="eastAsia" w:ascii="宋体" w:hAnsi="宋体" w:eastAsia="宋体" w:cs="宋体"/>
                <w:i w:val="0"/>
                <w:color w:val="000000"/>
                <w:sz w:val="22"/>
                <w:szCs w:val="22"/>
                <w:u w:val="none"/>
              </w:rPr>
            </w:pPr>
            <w:r>
              <w:drawing>
                <wp:inline distT="0" distB="0" distL="114300" distR="114300">
                  <wp:extent cx="1069975" cy="1213485"/>
                  <wp:effectExtent l="0" t="0" r="15875"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rcRect t="14420" r="2994"/>
                          <a:stretch>
                            <a:fillRect/>
                          </a:stretch>
                        </pic:blipFill>
                        <pic:spPr>
                          <a:xfrm>
                            <a:off x="0" y="0"/>
                            <a:ext cx="1069975" cy="1213485"/>
                          </a:xfrm>
                          <a:prstGeom prst="rect">
                            <a:avLst/>
                          </a:prstGeom>
                          <a:noFill/>
                          <a:ln>
                            <a:noFill/>
                          </a:ln>
                        </pic:spPr>
                      </pic:pic>
                    </a:graphicData>
                  </a:graphic>
                </wp:inline>
              </w:drawing>
            </w:r>
          </w:p>
        </w:tc>
        <w:tc>
          <w:tcPr>
            <w:tcW w:w="2216" w:type="dxa"/>
            <w:vMerge w:val="continue"/>
            <w:tcBorders>
              <w:tl2br w:val="nil"/>
              <w:tr2bl w:val="nil"/>
            </w:tcBorders>
            <w:shd w:val="clear" w:color="auto" w:fill="auto"/>
            <w:vAlign w:val="center"/>
          </w:tcPr>
          <w:p w14:paraId="67E88B7E">
            <w:pPr>
              <w:jc w:val="center"/>
              <w:rPr>
                <w:rFonts w:hint="eastAsia" w:ascii="宋体" w:hAnsi="宋体" w:eastAsia="宋体" w:cs="宋体"/>
                <w:color w:val="auto"/>
                <w:highlight w:val="none"/>
                <w:lang w:eastAsia="zh-CN"/>
              </w:rPr>
            </w:pPr>
          </w:p>
        </w:tc>
      </w:tr>
      <w:tr w14:paraId="7099C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2718" w:hRule="atLeast"/>
          <w:jc w:val="center"/>
        </w:trPr>
        <w:tc>
          <w:tcPr>
            <w:tcW w:w="14955" w:type="dxa"/>
            <w:gridSpan w:val="8"/>
            <w:tcBorders>
              <w:tl2br w:val="nil"/>
              <w:tr2bl w:val="nil"/>
            </w:tcBorders>
            <w:shd w:val="clear" w:color="auto" w:fill="auto"/>
            <w:vAlign w:val="center"/>
          </w:tcPr>
          <w:p w14:paraId="0785B528">
            <w:pPr>
              <w:adjustRightInd w:val="0"/>
              <w:snapToGrid w:val="0"/>
              <w:spacing w:line="300" w:lineRule="auto"/>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w:t>
            </w:r>
          </w:p>
          <w:p w14:paraId="3C1874D0">
            <w:pPr>
              <w:numPr>
                <w:ilvl w:val="-1"/>
                <w:numId w:val="0"/>
              </w:numPr>
              <w:adjustRightInd w:val="0"/>
              <w:snapToGrid w:val="0"/>
              <w:spacing w:line="300" w:lineRule="auto"/>
              <w:jc w:val="left"/>
              <w:rPr>
                <w:rFonts w:hint="eastAsia" w:ascii="宋体" w:hAnsi="宋体" w:eastAsia="宋体" w:cs="宋体"/>
                <w:b w:val="0"/>
                <w:bCs w:val="0"/>
                <w:color w:val="auto"/>
                <w:highlight w:val="none"/>
                <w:lang w:val="en-US" w:eastAsia="zh-CN"/>
              </w:rPr>
            </w:pPr>
            <w:r>
              <w:rPr>
                <w:rFonts w:hint="eastAsia" w:ascii="宋体" w:hAnsi="宋体" w:cs="宋体"/>
                <w:b w:val="0"/>
                <w:bCs w:val="0"/>
                <w:color w:val="auto"/>
                <w:highlight w:val="none"/>
                <w:lang w:val="en-US" w:eastAsia="zh-CN"/>
              </w:rPr>
              <w:t>1.</w:t>
            </w:r>
            <w:r>
              <w:rPr>
                <w:rFonts w:hint="eastAsia" w:ascii="宋体" w:hAnsi="宋体" w:eastAsia="宋体" w:cs="宋体"/>
                <w:b w:val="0"/>
                <w:bCs w:val="0"/>
                <w:color w:val="auto"/>
                <w:highlight w:val="none"/>
                <w:lang w:val="en-US" w:eastAsia="zh-CN"/>
              </w:rPr>
              <w:t>免费质保期：5年</w:t>
            </w:r>
            <w:r>
              <w:rPr>
                <w:rFonts w:hint="eastAsia" w:ascii="宋体" w:hAnsi="宋体" w:cs="宋体"/>
                <w:b w:val="0"/>
                <w:bCs w:val="0"/>
                <w:color w:val="auto"/>
                <w:highlight w:val="none"/>
                <w:lang w:val="en-US" w:eastAsia="zh-CN"/>
              </w:rPr>
              <w:t>。</w:t>
            </w:r>
            <w:r>
              <w:rPr>
                <w:rFonts w:hint="eastAsia" w:ascii="宋体" w:hAnsi="宋体" w:cs="宋体"/>
                <w:b w:val="0"/>
                <w:bCs w:val="0"/>
                <w:color w:val="auto"/>
                <w:highlight w:val="none"/>
              </w:rPr>
              <w:t>质保期内，任何因产品自身材质或工艺缺陷导致的瑕疵或损坏，供应商应在收到采购人书面通知后48小时内响应，7个工作日内免费提供维修、更换零部件等服务</w:t>
            </w:r>
            <w:r>
              <w:rPr>
                <w:rFonts w:hint="eastAsia" w:ascii="宋体" w:hAnsi="宋体" w:cs="宋体"/>
                <w:b w:val="0"/>
                <w:bCs w:val="0"/>
                <w:color w:val="auto"/>
                <w:highlight w:val="none"/>
                <w:lang w:val="en-US" w:eastAsia="zh-CN"/>
              </w:rPr>
              <w:t>；</w:t>
            </w:r>
          </w:p>
          <w:p w14:paraId="187F0E95">
            <w:pPr>
              <w:numPr>
                <w:ilvl w:val="0"/>
                <w:numId w:val="0"/>
              </w:numPr>
              <w:adjustRightInd w:val="0"/>
              <w:snapToGrid w:val="0"/>
              <w:spacing w:line="300" w:lineRule="auto"/>
              <w:jc w:val="left"/>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r>
              <w:rPr>
                <w:rFonts w:hint="eastAsia" w:ascii="宋体" w:hAnsi="宋体" w:eastAsia="宋体" w:cs="宋体"/>
                <w:color w:val="auto"/>
                <w:highlight w:val="none"/>
                <w:lang w:val="en-US" w:eastAsia="zh-CN"/>
              </w:rPr>
              <w:t>以上</w:t>
            </w:r>
            <w:r>
              <w:rPr>
                <w:rStyle w:val="12"/>
                <w:rFonts w:hint="eastAsia" w:ascii="宋体" w:hAnsi="宋体" w:eastAsia="宋体" w:cs="宋体"/>
                <w:b w:val="0"/>
                <w:bCs w:val="0"/>
                <w:i w:val="0"/>
                <w:iCs w:val="0"/>
                <w:caps w:val="0"/>
                <w:color w:val="auto"/>
                <w:spacing w:val="0"/>
                <w:sz w:val="21"/>
                <w:szCs w:val="24"/>
                <w:highlight w:val="none"/>
                <w:shd w:val="clear" w:color="auto" w:fill="auto"/>
              </w:rPr>
              <w:t>三聚氰胺饰面</w:t>
            </w:r>
            <w:r>
              <w:rPr>
                <w:rFonts w:hint="eastAsia" w:ascii="宋体" w:hAnsi="宋体" w:eastAsia="宋体" w:cs="宋体"/>
                <w:color w:val="auto"/>
                <w:highlight w:val="none"/>
                <w:lang w:val="en-US" w:eastAsia="zh-CN"/>
              </w:rPr>
              <w:t>板材参数符合国标</w:t>
            </w:r>
            <w:r>
              <w:rPr>
                <w:rFonts w:hint="eastAsia" w:ascii="宋体" w:hAnsi="宋体" w:eastAsia="宋体" w:cs="宋体"/>
                <w:b w:val="0"/>
                <w:bCs/>
                <w:color w:val="auto"/>
                <w:sz w:val="21"/>
                <w:szCs w:val="21"/>
                <w:highlight w:val="none"/>
                <w:lang w:val="zh-CN" w:eastAsia="zh-CN"/>
              </w:rPr>
              <w:t>GB/T 39600-2021《人造板及其制品甲醛释放量分级》E0级</w:t>
            </w:r>
            <w:r>
              <w:rPr>
                <w:rFonts w:hint="eastAsia" w:ascii="宋体" w:hAnsi="宋体" w:eastAsia="宋体" w:cs="宋体"/>
                <w:b w:val="0"/>
                <w:bCs/>
                <w:color w:val="auto"/>
                <w:sz w:val="21"/>
                <w:szCs w:val="21"/>
                <w:highlight w:val="none"/>
                <w:lang w:eastAsia="zh-CN"/>
              </w:rPr>
              <w:t>标准</w:t>
            </w:r>
            <w:r>
              <w:rPr>
                <w:rFonts w:hint="eastAsia" w:ascii="宋体" w:hAnsi="宋体" w:eastAsia="宋体" w:cs="宋体"/>
                <w:b w:val="0"/>
                <w:bCs/>
                <w:color w:val="auto"/>
                <w:sz w:val="21"/>
                <w:szCs w:val="21"/>
                <w:highlight w:val="none"/>
                <w:vertAlign w:val="baseline"/>
                <w:lang w:val="en-US" w:eastAsia="zh-CN"/>
              </w:rPr>
              <w:t>；</w:t>
            </w:r>
          </w:p>
          <w:p w14:paraId="134F89CF">
            <w:pPr>
              <w:numPr>
                <w:ilvl w:val="0"/>
                <w:numId w:val="0"/>
              </w:numPr>
              <w:adjustRightInd w:val="0"/>
              <w:snapToGrid w:val="0"/>
              <w:spacing w:line="300" w:lineRule="auto"/>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i w:val="0"/>
                <w:iCs w:val="0"/>
                <w:color w:val="000000"/>
                <w:kern w:val="0"/>
                <w:sz w:val="21"/>
                <w:szCs w:val="21"/>
                <w:highlight w:val="none"/>
                <w:u w:val="none"/>
                <w:lang w:val="en-US" w:eastAsia="zh-CN" w:bidi="ar"/>
              </w:rPr>
              <w:t>ABS封边条：符合QB/T 4463-2013标准</w:t>
            </w:r>
            <w:r>
              <w:rPr>
                <w:rFonts w:hint="eastAsia" w:ascii="宋体" w:hAnsi="宋体" w:cs="宋体"/>
                <w:i w:val="0"/>
                <w:iCs w:val="0"/>
                <w:color w:val="000000"/>
                <w:kern w:val="0"/>
                <w:sz w:val="21"/>
                <w:szCs w:val="21"/>
                <w:highlight w:val="none"/>
                <w:u w:val="none"/>
                <w:lang w:val="en-US" w:eastAsia="zh-CN" w:bidi="ar"/>
              </w:rPr>
              <w:t>；</w:t>
            </w:r>
          </w:p>
          <w:p w14:paraId="0D576B36">
            <w:pPr>
              <w:numPr>
                <w:ilvl w:val="0"/>
                <w:numId w:val="0"/>
              </w:numPr>
              <w:adjustRightInd w:val="0"/>
              <w:snapToGrid w:val="0"/>
              <w:spacing w:line="300" w:lineRule="auto"/>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4.钢脚:</w:t>
            </w:r>
            <w:r>
              <w:rPr>
                <w:rFonts w:hint="eastAsia" w:ascii="宋体" w:hAnsi="宋体" w:cs="宋体"/>
                <w:color w:val="auto"/>
                <w:highlight w:val="none"/>
                <w:lang w:val="en-US" w:eastAsia="zh-CN"/>
              </w:rPr>
              <w:t>符合</w:t>
            </w:r>
            <w:r>
              <w:rPr>
                <w:rFonts w:hint="eastAsia" w:ascii="宋体" w:hAnsi="宋体" w:eastAsia="宋体" w:cs="宋体"/>
                <w:color w:val="auto"/>
                <w:highlight w:val="none"/>
                <w:lang w:val="en-US" w:eastAsia="zh-CN"/>
              </w:rPr>
              <w:t>《GB/T 3325-2024金属家具通用技术条件》理化性能检测要求</w:t>
            </w:r>
            <w:r>
              <w:rPr>
                <w:rFonts w:hint="eastAsia" w:ascii="宋体" w:hAnsi="宋体" w:cs="宋体"/>
                <w:color w:val="auto"/>
                <w:highlight w:val="none"/>
                <w:lang w:val="en-US" w:eastAsia="zh-CN"/>
              </w:rPr>
              <w:t>；</w:t>
            </w:r>
          </w:p>
          <w:p w14:paraId="297A3E42">
            <w:pPr>
              <w:numPr>
                <w:ilvl w:val="0"/>
                <w:numId w:val="0"/>
              </w:numPr>
              <w:adjustRightInd w:val="0"/>
              <w:snapToGrid w:val="0"/>
              <w:spacing w:line="300" w:lineRule="auto"/>
              <w:ind w:left="0" w:leftChars="0" w:firstLine="0" w:firstLineChars="0"/>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5.</w:t>
            </w:r>
            <w:r>
              <w:rPr>
                <w:rFonts w:hint="eastAsia" w:ascii="宋体" w:hAnsi="宋体" w:cs="宋体"/>
                <w:color w:val="auto"/>
                <w:szCs w:val="21"/>
                <w:highlight w:val="none"/>
              </w:rPr>
              <w:t>本文件引用的所有国家标准、行业标准，均以在投标截止日前最新发布且现行有效的版本为准</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供应商所提供的产品应符合或优于本文件所引用的标准要求。</w:t>
            </w:r>
          </w:p>
        </w:tc>
      </w:tr>
      <w:tr w14:paraId="3311E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15" w:type="dxa"/>
            <w:left w:w="15" w:type="dxa"/>
            <w:bottom w:w="15" w:type="dxa"/>
            <w:right w:w="15" w:type="dxa"/>
          </w:tblCellMar>
        </w:tblPrEx>
        <w:trPr>
          <w:trHeight w:val="735" w:hRule="atLeast"/>
          <w:jc w:val="center"/>
        </w:trPr>
        <w:tc>
          <w:tcPr>
            <w:tcW w:w="14955" w:type="dxa"/>
            <w:gridSpan w:val="8"/>
            <w:tcBorders>
              <w:tl2br w:val="nil"/>
              <w:tr2bl w:val="nil"/>
            </w:tcBorders>
            <w:shd w:val="clear" w:color="auto" w:fill="auto"/>
            <w:vAlign w:val="center"/>
          </w:tcPr>
          <w:p w14:paraId="064BB8CE">
            <w:pPr>
              <w:ind w:firstLine="420" w:firstLineChars="200"/>
              <w:jc w:val="left"/>
              <w:rPr>
                <w:rFonts w:hint="default" w:ascii="宋体" w:hAnsi="宋体" w:eastAsia="宋体" w:cs="宋体"/>
                <w:i w:val="0"/>
                <w:color w:val="000000"/>
                <w:sz w:val="22"/>
                <w:szCs w:val="22"/>
                <w:u w:val="none"/>
                <w:lang w:val="en-US"/>
              </w:rPr>
            </w:pPr>
            <w:r>
              <w:rPr>
                <w:rFonts w:hint="eastAsia" w:ascii="宋体" w:hAnsi="宋体" w:cs="宋体"/>
                <w:b w:val="0"/>
                <w:bCs w:val="0"/>
                <w:color w:val="auto"/>
                <w:sz w:val="21"/>
                <w:szCs w:val="21"/>
                <w:highlight w:val="none"/>
                <w:lang w:val="en-US" w:eastAsia="zh-CN"/>
              </w:rPr>
              <w:t>总计（人民币大写）：                                （￥：           元）</w:t>
            </w:r>
          </w:p>
        </w:tc>
      </w:tr>
    </w:tbl>
    <w:p w14:paraId="0343919F">
      <w:pPr>
        <w:rPr>
          <w:rFonts w:hint="eastAsia" w:ascii="宋体" w:hAnsi="宋体"/>
          <w:szCs w:val="21"/>
        </w:rPr>
      </w:pPr>
    </w:p>
    <w:p w14:paraId="1A87E477">
      <w:pPr>
        <w:spacing w:line="360" w:lineRule="auto"/>
        <w:ind w:firstLine="880" w:firstLineChars="200"/>
        <w:jc w:val="center"/>
        <w:rPr>
          <w:rFonts w:hint="eastAsia" w:ascii="宋体" w:hAnsi="宋体" w:cs="宋体"/>
          <w:b/>
          <w:bCs/>
          <w:color w:val="auto"/>
          <w:sz w:val="44"/>
          <w:szCs w:val="44"/>
          <w:lang w:val="en-US" w:eastAsia="zh-CN"/>
        </w:rPr>
      </w:pPr>
    </w:p>
    <w:p w14:paraId="12762EF9">
      <w:pPr>
        <w:spacing w:line="360" w:lineRule="auto"/>
        <w:ind w:firstLine="880" w:firstLineChars="200"/>
        <w:jc w:val="center"/>
        <w:rPr>
          <w:rFonts w:hint="eastAsia" w:ascii="宋体" w:hAnsi="宋体" w:cs="宋体"/>
          <w:b/>
          <w:bCs/>
          <w:color w:val="auto"/>
          <w:sz w:val="44"/>
          <w:szCs w:val="44"/>
          <w:lang w:val="en-US" w:eastAsia="zh-CN"/>
        </w:rPr>
      </w:pPr>
    </w:p>
    <w:sectPr>
      <w:pgSz w:w="16838" w:h="11906" w:orient="landscape"/>
      <w:pgMar w:top="1134" w:right="1134" w:bottom="1418" w:left="141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349567"/>
    </w:sdtPr>
    <w:sdtContent>
      <w:p w14:paraId="73427E22">
        <w:pPr>
          <w:pStyle w:val="7"/>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4BEBB2E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90E19">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765F4DD0">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3719F">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OTkzZDY3MGUzODUwN2UyOWFkNDI5YmMyM2EzZGIifQ=="/>
  </w:docVars>
  <w:rsids>
    <w:rsidRoot w:val="008736F4"/>
    <w:rsid w:val="00004B7D"/>
    <w:rsid w:val="0004638D"/>
    <w:rsid w:val="00046973"/>
    <w:rsid w:val="00055749"/>
    <w:rsid w:val="000747E9"/>
    <w:rsid w:val="000814BF"/>
    <w:rsid w:val="00083F72"/>
    <w:rsid w:val="00084C45"/>
    <w:rsid w:val="00087252"/>
    <w:rsid w:val="00090AB7"/>
    <w:rsid w:val="000B7584"/>
    <w:rsid w:val="000C4BAD"/>
    <w:rsid w:val="000E22D0"/>
    <w:rsid w:val="000E5AE2"/>
    <w:rsid w:val="000F1E8E"/>
    <w:rsid w:val="0010718B"/>
    <w:rsid w:val="00121298"/>
    <w:rsid w:val="001554BF"/>
    <w:rsid w:val="00172050"/>
    <w:rsid w:val="0017704A"/>
    <w:rsid w:val="001A10C5"/>
    <w:rsid w:val="001B7940"/>
    <w:rsid w:val="001D56BB"/>
    <w:rsid w:val="002434A7"/>
    <w:rsid w:val="00245E80"/>
    <w:rsid w:val="002763AE"/>
    <w:rsid w:val="002C19D5"/>
    <w:rsid w:val="002C573D"/>
    <w:rsid w:val="002E40BC"/>
    <w:rsid w:val="002E7BAA"/>
    <w:rsid w:val="002F19D8"/>
    <w:rsid w:val="002F2A85"/>
    <w:rsid w:val="002F6A58"/>
    <w:rsid w:val="003231A0"/>
    <w:rsid w:val="00343F79"/>
    <w:rsid w:val="0034704C"/>
    <w:rsid w:val="00380780"/>
    <w:rsid w:val="003A642B"/>
    <w:rsid w:val="003B0CF1"/>
    <w:rsid w:val="003C2D8F"/>
    <w:rsid w:val="004300B6"/>
    <w:rsid w:val="0043479C"/>
    <w:rsid w:val="004A04D9"/>
    <w:rsid w:val="004A65D8"/>
    <w:rsid w:val="004C3A6D"/>
    <w:rsid w:val="004C4135"/>
    <w:rsid w:val="004D446B"/>
    <w:rsid w:val="004E34DD"/>
    <w:rsid w:val="004F5435"/>
    <w:rsid w:val="00514A54"/>
    <w:rsid w:val="00553E9C"/>
    <w:rsid w:val="005643A0"/>
    <w:rsid w:val="0056702C"/>
    <w:rsid w:val="005768C1"/>
    <w:rsid w:val="00584510"/>
    <w:rsid w:val="005939E3"/>
    <w:rsid w:val="005A7211"/>
    <w:rsid w:val="005C356D"/>
    <w:rsid w:val="005C4B83"/>
    <w:rsid w:val="005D410C"/>
    <w:rsid w:val="00607D37"/>
    <w:rsid w:val="0063280F"/>
    <w:rsid w:val="00650EE4"/>
    <w:rsid w:val="00673362"/>
    <w:rsid w:val="006A0FE8"/>
    <w:rsid w:val="006C4FD7"/>
    <w:rsid w:val="006D724B"/>
    <w:rsid w:val="006E4D84"/>
    <w:rsid w:val="006E6EFD"/>
    <w:rsid w:val="007028AE"/>
    <w:rsid w:val="00712B9D"/>
    <w:rsid w:val="00731688"/>
    <w:rsid w:val="007322C7"/>
    <w:rsid w:val="007413D5"/>
    <w:rsid w:val="007466BE"/>
    <w:rsid w:val="007631B6"/>
    <w:rsid w:val="007759A7"/>
    <w:rsid w:val="007B043C"/>
    <w:rsid w:val="007B2F7D"/>
    <w:rsid w:val="007C3804"/>
    <w:rsid w:val="007C5D43"/>
    <w:rsid w:val="007D6053"/>
    <w:rsid w:val="007E5D06"/>
    <w:rsid w:val="00811A72"/>
    <w:rsid w:val="00825235"/>
    <w:rsid w:val="00833901"/>
    <w:rsid w:val="00852459"/>
    <w:rsid w:val="00854F9A"/>
    <w:rsid w:val="00867EF3"/>
    <w:rsid w:val="008736F4"/>
    <w:rsid w:val="00886303"/>
    <w:rsid w:val="00892DA3"/>
    <w:rsid w:val="008A5BFD"/>
    <w:rsid w:val="008D3D27"/>
    <w:rsid w:val="00910DAA"/>
    <w:rsid w:val="00914BFB"/>
    <w:rsid w:val="00917202"/>
    <w:rsid w:val="00956CE0"/>
    <w:rsid w:val="00963C06"/>
    <w:rsid w:val="009672D6"/>
    <w:rsid w:val="009B5CEC"/>
    <w:rsid w:val="009C0080"/>
    <w:rsid w:val="009C4956"/>
    <w:rsid w:val="009D4858"/>
    <w:rsid w:val="009E56F4"/>
    <w:rsid w:val="00A144DB"/>
    <w:rsid w:val="00A25B21"/>
    <w:rsid w:val="00A43886"/>
    <w:rsid w:val="00A4471A"/>
    <w:rsid w:val="00A477FB"/>
    <w:rsid w:val="00A66B2F"/>
    <w:rsid w:val="00A70A94"/>
    <w:rsid w:val="00A747DD"/>
    <w:rsid w:val="00A80C5E"/>
    <w:rsid w:val="00A87485"/>
    <w:rsid w:val="00AD1E38"/>
    <w:rsid w:val="00AF39B7"/>
    <w:rsid w:val="00B04828"/>
    <w:rsid w:val="00B23F02"/>
    <w:rsid w:val="00B32B33"/>
    <w:rsid w:val="00B3345C"/>
    <w:rsid w:val="00B603CC"/>
    <w:rsid w:val="00B6208A"/>
    <w:rsid w:val="00B81B33"/>
    <w:rsid w:val="00B9075F"/>
    <w:rsid w:val="00B92A37"/>
    <w:rsid w:val="00BD6A44"/>
    <w:rsid w:val="00BE171B"/>
    <w:rsid w:val="00C0710C"/>
    <w:rsid w:val="00C12956"/>
    <w:rsid w:val="00C35F86"/>
    <w:rsid w:val="00C7326F"/>
    <w:rsid w:val="00C8129A"/>
    <w:rsid w:val="00C83C11"/>
    <w:rsid w:val="00C929A2"/>
    <w:rsid w:val="00CA7367"/>
    <w:rsid w:val="00CC04AE"/>
    <w:rsid w:val="00CD2912"/>
    <w:rsid w:val="00CE08EB"/>
    <w:rsid w:val="00CE3069"/>
    <w:rsid w:val="00D057E8"/>
    <w:rsid w:val="00D12CBF"/>
    <w:rsid w:val="00D20D6F"/>
    <w:rsid w:val="00D33820"/>
    <w:rsid w:val="00D35924"/>
    <w:rsid w:val="00D64963"/>
    <w:rsid w:val="00D73241"/>
    <w:rsid w:val="00D74D2A"/>
    <w:rsid w:val="00D74DCD"/>
    <w:rsid w:val="00D90502"/>
    <w:rsid w:val="00DB1ABC"/>
    <w:rsid w:val="00DB1E16"/>
    <w:rsid w:val="00DC4A5A"/>
    <w:rsid w:val="00DC70EA"/>
    <w:rsid w:val="00DE57A4"/>
    <w:rsid w:val="00E2185B"/>
    <w:rsid w:val="00E266CB"/>
    <w:rsid w:val="00E54002"/>
    <w:rsid w:val="00E5428F"/>
    <w:rsid w:val="00E57102"/>
    <w:rsid w:val="00E675F2"/>
    <w:rsid w:val="00EE4BF4"/>
    <w:rsid w:val="00F32D80"/>
    <w:rsid w:val="00F443C1"/>
    <w:rsid w:val="00F45771"/>
    <w:rsid w:val="00F46FEB"/>
    <w:rsid w:val="00F57FF1"/>
    <w:rsid w:val="00F61FC2"/>
    <w:rsid w:val="00F7258E"/>
    <w:rsid w:val="00F74A2E"/>
    <w:rsid w:val="00FB755C"/>
    <w:rsid w:val="00FF7DFF"/>
    <w:rsid w:val="021201B8"/>
    <w:rsid w:val="03B36AD5"/>
    <w:rsid w:val="04A51C84"/>
    <w:rsid w:val="04A652D8"/>
    <w:rsid w:val="05FF5C9C"/>
    <w:rsid w:val="06EE5AAF"/>
    <w:rsid w:val="07DF28CF"/>
    <w:rsid w:val="07F04F21"/>
    <w:rsid w:val="081A011B"/>
    <w:rsid w:val="08D73166"/>
    <w:rsid w:val="08E03C5D"/>
    <w:rsid w:val="09F97970"/>
    <w:rsid w:val="0A8B6976"/>
    <w:rsid w:val="0AFA19DE"/>
    <w:rsid w:val="0B097350"/>
    <w:rsid w:val="0B7C2511"/>
    <w:rsid w:val="0C7C2090"/>
    <w:rsid w:val="0D8E229F"/>
    <w:rsid w:val="0DD40B31"/>
    <w:rsid w:val="0E855270"/>
    <w:rsid w:val="0E8D1DCC"/>
    <w:rsid w:val="0E8E4AF3"/>
    <w:rsid w:val="1109547E"/>
    <w:rsid w:val="11DC7E46"/>
    <w:rsid w:val="12342966"/>
    <w:rsid w:val="139A33B8"/>
    <w:rsid w:val="13A071BA"/>
    <w:rsid w:val="13DB5FAF"/>
    <w:rsid w:val="14946372"/>
    <w:rsid w:val="15334E3B"/>
    <w:rsid w:val="16535AFD"/>
    <w:rsid w:val="18500A9F"/>
    <w:rsid w:val="186E6A9B"/>
    <w:rsid w:val="19373127"/>
    <w:rsid w:val="1C38155C"/>
    <w:rsid w:val="1C48195B"/>
    <w:rsid w:val="1D9B3B53"/>
    <w:rsid w:val="1DB97C04"/>
    <w:rsid w:val="1E25518E"/>
    <w:rsid w:val="1EE7263F"/>
    <w:rsid w:val="1EF0358A"/>
    <w:rsid w:val="1F0A057B"/>
    <w:rsid w:val="1F5D0D4B"/>
    <w:rsid w:val="1F996A51"/>
    <w:rsid w:val="1FD256A6"/>
    <w:rsid w:val="210C0205"/>
    <w:rsid w:val="21E05BB7"/>
    <w:rsid w:val="22925180"/>
    <w:rsid w:val="22B113D9"/>
    <w:rsid w:val="23B92F18"/>
    <w:rsid w:val="24331092"/>
    <w:rsid w:val="249C386F"/>
    <w:rsid w:val="25BA79AE"/>
    <w:rsid w:val="26760C10"/>
    <w:rsid w:val="27064A5E"/>
    <w:rsid w:val="278F7D08"/>
    <w:rsid w:val="27F76AEA"/>
    <w:rsid w:val="282A31F1"/>
    <w:rsid w:val="28710CD8"/>
    <w:rsid w:val="29E079E4"/>
    <w:rsid w:val="29FF133B"/>
    <w:rsid w:val="2ABA75C7"/>
    <w:rsid w:val="2AC456E5"/>
    <w:rsid w:val="2C7E5D2E"/>
    <w:rsid w:val="2C936F41"/>
    <w:rsid w:val="2CED011D"/>
    <w:rsid w:val="2D6F0C8F"/>
    <w:rsid w:val="2E8507C2"/>
    <w:rsid w:val="2F6759D6"/>
    <w:rsid w:val="2FB7480B"/>
    <w:rsid w:val="308623F2"/>
    <w:rsid w:val="31BF2657"/>
    <w:rsid w:val="31CC012B"/>
    <w:rsid w:val="31F44517"/>
    <w:rsid w:val="32452A38"/>
    <w:rsid w:val="32B977C4"/>
    <w:rsid w:val="3346761E"/>
    <w:rsid w:val="33F83156"/>
    <w:rsid w:val="340127D9"/>
    <w:rsid w:val="343A520B"/>
    <w:rsid w:val="344C3054"/>
    <w:rsid w:val="34694198"/>
    <w:rsid w:val="34AB49C0"/>
    <w:rsid w:val="34DB4294"/>
    <w:rsid w:val="36D44917"/>
    <w:rsid w:val="379832B4"/>
    <w:rsid w:val="38206F62"/>
    <w:rsid w:val="388F565A"/>
    <w:rsid w:val="38DE2A71"/>
    <w:rsid w:val="390417AA"/>
    <w:rsid w:val="39E60BE9"/>
    <w:rsid w:val="3A8F2568"/>
    <w:rsid w:val="3C411EA1"/>
    <w:rsid w:val="3CB346BC"/>
    <w:rsid w:val="3CB714FE"/>
    <w:rsid w:val="3D8928C4"/>
    <w:rsid w:val="3E164465"/>
    <w:rsid w:val="3E2E5752"/>
    <w:rsid w:val="3E656516"/>
    <w:rsid w:val="3EAA2A50"/>
    <w:rsid w:val="3EC24F75"/>
    <w:rsid w:val="3F3E6566"/>
    <w:rsid w:val="3F6D52FF"/>
    <w:rsid w:val="3F89318B"/>
    <w:rsid w:val="403B7BB2"/>
    <w:rsid w:val="405F1A4D"/>
    <w:rsid w:val="40AD6F5D"/>
    <w:rsid w:val="40ED4785"/>
    <w:rsid w:val="41BE0485"/>
    <w:rsid w:val="41D725D7"/>
    <w:rsid w:val="41F772BD"/>
    <w:rsid w:val="4213399F"/>
    <w:rsid w:val="42272207"/>
    <w:rsid w:val="42943559"/>
    <w:rsid w:val="43396A11"/>
    <w:rsid w:val="43FF6AAF"/>
    <w:rsid w:val="442B0A4F"/>
    <w:rsid w:val="449042CE"/>
    <w:rsid w:val="44C902B4"/>
    <w:rsid w:val="46A7120C"/>
    <w:rsid w:val="46AE6B6B"/>
    <w:rsid w:val="47613137"/>
    <w:rsid w:val="47B6176B"/>
    <w:rsid w:val="48094E0E"/>
    <w:rsid w:val="48755D37"/>
    <w:rsid w:val="4A0814E8"/>
    <w:rsid w:val="4AEC732A"/>
    <w:rsid w:val="4B6A3310"/>
    <w:rsid w:val="4C042EA6"/>
    <w:rsid w:val="4C754F2F"/>
    <w:rsid w:val="4CF12794"/>
    <w:rsid w:val="4D1130CF"/>
    <w:rsid w:val="4E7C7D9A"/>
    <w:rsid w:val="4F491A25"/>
    <w:rsid w:val="4FE0796B"/>
    <w:rsid w:val="4FEA1EC5"/>
    <w:rsid w:val="50A20DD5"/>
    <w:rsid w:val="51657A76"/>
    <w:rsid w:val="51953CE6"/>
    <w:rsid w:val="51F20B76"/>
    <w:rsid w:val="52562025"/>
    <w:rsid w:val="52587826"/>
    <w:rsid w:val="52947B56"/>
    <w:rsid w:val="52F33CB2"/>
    <w:rsid w:val="53F047C3"/>
    <w:rsid w:val="54161F01"/>
    <w:rsid w:val="551443BF"/>
    <w:rsid w:val="55527774"/>
    <w:rsid w:val="55E52FFD"/>
    <w:rsid w:val="56311CCB"/>
    <w:rsid w:val="564057BF"/>
    <w:rsid w:val="56B77AE3"/>
    <w:rsid w:val="579903A9"/>
    <w:rsid w:val="579C74CC"/>
    <w:rsid w:val="57F20CAD"/>
    <w:rsid w:val="584C39B2"/>
    <w:rsid w:val="58562CA1"/>
    <w:rsid w:val="585A555B"/>
    <w:rsid w:val="58F6424D"/>
    <w:rsid w:val="592276CB"/>
    <w:rsid w:val="598941ED"/>
    <w:rsid w:val="5BDA7E85"/>
    <w:rsid w:val="5C616CC6"/>
    <w:rsid w:val="5CA819E4"/>
    <w:rsid w:val="5CB31AD1"/>
    <w:rsid w:val="5E2D2BED"/>
    <w:rsid w:val="5F43173A"/>
    <w:rsid w:val="5F704BDA"/>
    <w:rsid w:val="5FBE1A41"/>
    <w:rsid w:val="603E2564"/>
    <w:rsid w:val="60795A64"/>
    <w:rsid w:val="614056A4"/>
    <w:rsid w:val="61837B9E"/>
    <w:rsid w:val="62043EE3"/>
    <w:rsid w:val="63484458"/>
    <w:rsid w:val="639A3E06"/>
    <w:rsid w:val="63BF55CF"/>
    <w:rsid w:val="646603B6"/>
    <w:rsid w:val="64671AF4"/>
    <w:rsid w:val="64773E6A"/>
    <w:rsid w:val="647E5C74"/>
    <w:rsid w:val="647E5E3F"/>
    <w:rsid w:val="65BA466D"/>
    <w:rsid w:val="6726017E"/>
    <w:rsid w:val="676120C3"/>
    <w:rsid w:val="6A62528C"/>
    <w:rsid w:val="6A8F3C50"/>
    <w:rsid w:val="6BAB5110"/>
    <w:rsid w:val="6C27671D"/>
    <w:rsid w:val="6CC55A98"/>
    <w:rsid w:val="6CEA1364"/>
    <w:rsid w:val="6E6F4D7F"/>
    <w:rsid w:val="6E910BE1"/>
    <w:rsid w:val="6F5B7A04"/>
    <w:rsid w:val="714E108C"/>
    <w:rsid w:val="71741186"/>
    <w:rsid w:val="71B72140"/>
    <w:rsid w:val="71E30716"/>
    <w:rsid w:val="73357514"/>
    <w:rsid w:val="734E4899"/>
    <w:rsid w:val="73814595"/>
    <w:rsid w:val="755376C9"/>
    <w:rsid w:val="75973449"/>
    <w:rsid w:val="75E17A57"/>
    <w:rsid w:val="7752100B"/>
    <w:rsid w:val="78BE62B2"/>
    <w:rsid w:val="793239D7"/>
    <w:rsid w:val="7AF17CBD"/>
    <w:rsid w:val="7B737B3E"/>
    <w:rsid w:val="7BED1CE9"/>
    <w:rsid w:val="7C786F6D"/>
    <w:rsid w:val="7C9D432B"/>
    <w:rsid w:val="7CD23749"/>
    <w:rsid w:val="7D747A34"/>
    <w:rsid w:val="7E576C1E"/>
    <w:rsid w:val="7EDF429E"/>
    <w:rsid w:val="7EED3D45"/>
    <w:rsid w:val="7F9461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6" w:lineRule="auto"/>
      <w:outlineLvl w:val="0"/>
    </w:pPr>
    <w:rPr>
      <w:b/>
      <w:kern w:val="44"/>
      <w:sz w:val="44"/>
      <w:szCs w:val="20"/>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spacing w:after="120"/>
    </w:pPr>
    <w:rPr>
      <w:szCs w:val="20"/>
    </w:rPr>
  </w:style>
  <w:style w:type="paragraph" w:styleId="5">
    <w:name w:val="Date"/>
    <w:basedOn w:val="1"/>
    <w:next w:val="1"/>
    <w:link w:val="16"/>
    <w:qFormat/>
    <w:uiPriority w:val="0"/>
    <w:pPr>
      <w:adjustRightInd w:val="0"/>
      <w:spacing w:line="312" w:lineRule="atLeast"/>
      <w:textAlignment w:val="baseline"/>
    </w:pPr>
    <w:rPr>
      <w:rFonts w:ascii="宋体" w:hAnsi="Arial"/>
      <w:kern w:val="0"/>
      <w:sz w:val="24"/>
      <w:szCs w:val="20"/>
    </w:rPr>
  </w:style>
  <w:style w:type="paragraph" w:styleId="6">
    <w:name w:val="Balloon Text"/>
    <w:basedOn w:val="1"/>
    <w:link w:val="19"/>
    <w:unhideWhenUsed/>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customStyle="1" w:styleId="14">
    <w:name w:val="页眉 字符"/>
    <w:basedOn w:val="11"/>
    <w:link w:val="8"/>
    <w:qFormat/>
    <w:uiPriority w:val="99"/>
    <w:rPr>
      <w:rFonts w:ascii="Times New Roman" w:hAnsi="Times New Roman" w:eastAsia="宋体" w:cs="Times New Roman"/>
      <w:sz w:val="18"/>
      <w:szCs w:val="18"/>
    </w:rPr>
  </w:style>
  <w:style w:type="character" w:customStyle="1" w:styleId="15">
    <w:name w:val="页脚 字符"/>
    <w:basedOn w:val="11"/>
    <w:link w:val="7"/>
    <w:qFormat/>
    <w:uiPriority w:val="99"/>
    <w:rPr>
      <w:rFonts w:ascii="Times New Roman" w:hAnsi="Times New Roman" w:eastAsia="宋体" w:cs="Times New Roman"/>
      <w:sz w:val="18"/>
      <w:szCs w:val="18"/>
    </w:rPr>
  </w:style>
  <w:style w:type="character" w:customStyle="1" w:styleId="16">
    <w:name w:val="日期 字符"/>
    <w:basedOn w:val="11"/>
    <w:link w:val="5"/>
    <w:qFormat/>
    <w:uiPriority w:val="0"/>
    <w:rPr>
      <w:rFonts w:ascii="宋体" w:hAnsi="Arial" w:eastAsia="宋体" w:cs="Times New Roman"/>
      <w:kern w:val="0"/>
      <w:sz w:val="24"/>
      <w:szCs w:val="20"/>
    </w:rPr>
  </w:style>
  <w:style w:type="paragraph" w:customStyle="1" w:styleId="17">
    <w:name w:val="列表段落1"/>
    <w:basedOn w:val="1"/>
    <w:qFormat/>
    <w:uiPriority w:val="34"/>
    <w:pPr>
      <w:ind w:firstLine="420" w:firstLineChars="200"/>
    </w:pPr>
    <w:rPr>
      <w:rFonts w:asciiTheme="minorHAnsi" w:hAnsiTheme="minorHAnsi" w:eastAsiaTheme="minorEastAsia" w:cstheme="minorBidi"/>
      <w:szCs w:val="22"/>
    </w:rPr>
  </w:style>
  <w:style w:type="character" w:customStyle="1" w:styleId="18">
    <w:name w:val="标题 1 字符"/>
    <w:basedOn w:val="11"/>
    <w:link w:val="2"/>
    <w:qFormat/>
    <w:uiPriority w:val="99"/>
    <w:rPr>
      <w:rFonts w:ascii="Times New Roman" w:hAnsi="Times New Roman" w:eastAsia="宋体" w:cs="Times New Roman"/>
      <w:b/>
      <w:kern w:val="44"/>
      <w:sz w:val="44"/>
      <w:szCs w:val="20"/>
    </w:rPr>
  </w:style>
  <w:style w:type="character" w:customStyle="1" w:styleId="19">
    <w:name w:val="批注框文本 字符"/>
    <w:basedOn w:val="11"/>
    <w:link w:val="6"/>
    <w:semiHidden/>
    <w:qFormat/>
    <w:uiPriority w:val="99"/>
    <w:rPr>
      <w:kern w:val="2"/>
      <w:sz w:val="18"/>
      <w:szCs w:val="18"/>
    </w:rPr>
  </w:style>
  <w:style w:type="character" w:customStyle="1" w:styleId="20">
    <w:name w:val="font31"/>
    <w:basedOn w:val="11"/>
    <w:qFormat/>
    <w:uiPriority w:val="0"/>
    <w:rPr>
      <w:rFonts w:hint="eastAsia" w:ascii="宋体" w:hAnsi="宋体" w:eastAsia="宋体" w:cs="宋体"/>
      <w:b/>
      <w:bCs/>
      <w:color w:val="000000"/>
      <w:sz w:val="24"/>
      <w:szCs w:val="24"/>
      <w:u w:val="none"/>
    </w:rPr>
  </w:style>
  <w:style w:type="character" w:customStyle="1" w:styleId="21">
    <w:name w:val="font41"/>
    <w:basedOn w:val="11"/>
    <w:qFormat/>
    <w:uiPriority w:val="0"/>
    <w:rPr>
      <w:rFonts w:hint="eastAsia" w:ascii="宋体" w:hAnsi="宋体" w:eastAsia="宋体" w:cs="宋体"/>
      <w:color w:val="000000"/>
      <w:sz w:val="24"/>
      <w:szCs w:val="24"/>
      <w:u w:val="none"/>
    </w:rPr>
  </w:style>
  <w:style w:type="character" w:customStyle="1" w:styleId="22">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2253</Words>
  <Characters>2452</Characters>
  <Lines>22</Lines>
  <Paragraphs>6</Paragraphs>
  <TotalTime>7</TotalTime>
  <ScaleCrop>false</ScaleCrop>
  <LinksUpToDate>false</LinksUpToDate>
  <CharactersWithSpaces>2555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2020-10-27T06:53:00Z</dcterms:created>
  <dc:creator>xyf</dc:creator>
  <cp:lastModifiedBy>WPS_1337793320</cp:lastModifiedBy>
  <dcterms:modified xsi:type="dcterms:W3CDTF">2025-09-30T01:13:14Z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528A10E628804E558415CA4A091870C1_13</vt:lpwstr>
  </property>
  <property fmtid="{D5CDD505-2E9C-101B-9397-08002B2CF9AE}" pid="4" name="KSOTemplateDocerSaveRecord">
    <vt:lpwstr>eyJoZGlkIjoiZmNlODFlM2E4YTU4YWU4MjE4MzdmOTQwYTRhNjU2YTYiLCJ1c2VySWQiOiIxMzM3NzkzMzIwIn0=</vt:lpwstr>
  </property>
</Properties>
</file>