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92F6E">
      <w:pPr>
        <w:tabs>
          <w:tab w:val="left" w:pos="406"/>
        </w:tabs>
        <w:adjustRightInd w:val="0"/>
        <w:snapToGrid w:val="0"/>
        <w:spacing w:line="300" w:lineRule="auto"/>
        <w:jc w:val="center"/>
        <w:rPr>
          <w:rFonts w:ascii="宋体" w:hAnsi="宋体" w:cs="宋体"/>
          <w:b/>
          <w:bCs/>
          <w:sz w:val="44"/>
          <w:szCs w:val="44"/>
        </w:rPr>
      </w:pPr>
    </w:p>
    <w:p w14:paraId="1CB36761">
      <w:pPr>
        <w:tabs>
          <w:tab w:val="left" w:pos="406"/>
        </w:tabs>
        <w:adjustRightInd w:val="0"/>
        <w:snapToGrid w:val="0"/>
        <w:spacing w:line="300" w:lineRule="auto"/>
        <w:jc w:val="center"/>
        <w:rPr>
          <w:rFonts w:ascii="宋体" w:hAnsi="宋体" w:cs="宋体"/>
          <w:b/>
          <w:bCs/>
          <w:sz w:val="44"/>
          <w:szCs w:val="44"/>
        </w:rPr>
      </w:pPr>
    </w:p>
    <w:p w14:paraId="36E740D4">
      <w:pPr>
        <w:tabs>
          <w:tab w:val="left" w:pos="406"/>
        </w:tabs>
        <w:adjustRightInd w:val="0"/>
        <w:snapToGrid w:val="0"/>
        <w:spacing w:line="300" w:lineRule="auto"/>
        <w:jc w:val="center"/>
        <w:rPr>
          <w:rFonts w:ascii="宋体" w:hAnsi="宋体" w:cs="宋体"/>
          <w:b/>
          <w:bCs/>
          <w:sz w:val="44"/>
          <w:szCs w:val="44"/>
        </w:rPr>
      </w:pPr>
      <w:r>
        <w:rPr>
          <w:rFonts w:hint="eastAsia" w:ascii="宋体" w:hAnsi="宋体" w:cs="宋体"/>
          <w:b/>
          <w:bCs/>
          <w:sz w:val="44"/>
          <w:szCs w:val="44"/>
        </w:rPr>
        <w:t>南京财经大学红山学院</w:t>
      </w:r>
    </w:p>
    <w:p w14:paraId="3EB3D441">
      <w:pPr>
        <w:tabs>
          <w:tab w:val="left" w:pos="406"/>
        </w:tabs>
        <w:adjustRightInd w:val="0"/>
        <w:snapToGrid w:val="0"/>
        <w:spacing w:line="300" w:lineRule="auto"/>
        <w:jc w:val="center"/>
        <w:rPr>
          <w:rFonts w:ascii="宋体" w:hAnsi="宋体" w:cs="宋体"/>
          <w:b/>
          <w:bCs/>
          <w:sz w:val="44"/>
          <w:szCs w:val="44"/>
        </w:rPr>
      </w:pPr>
      <w:r>
        <w:rPr>
          <w:rFonts w:hint="eastAsia" w:ascii="宋体" w:hAnsi="宋体" w:cs="宋体"/>
          <w:b/>
          <w:bCs/>
          <w:sz w:val="44"/>
          <w:szCs w:val="44"/>
        </w:rPr>
        <w:t>计算机课程考试系统软件采购项目</w:t>
      </w:r>
    </w:p>
    <w:p w14:paraId="6786E40C">
      <w:pPr>
        <w:tabs>
          <w:tab w:val="left" w:pos="406"/>
        </w:tabs>
        <w:adjustRightInd w:val="0"/>
        <w:snapToGrid w:val="0"/>
        <w:spacing w:line="300" w:lineRule="auto"/>
        <w:rPr>
          <w:rFonts w:ascii="宋体"/>
          <w:b/>
          <w:bCs/>
          <w:snapToGrid w:val="0"/>
        </w:rPr>
      </w:pPr>
    </w:p>
    <w:p w14:paraId="2EEFFDFC">
      <w:pPr>
        <w:tabs>
          <w:tab w:val="left" w:pos="406"/>
        </w:tabs>
        <w:adjustRightInd w:val="0"/>
        <w:snapToGrid w:val="0"/>
        <w:spacing w:line="300" w:lineRule="auto"/>
        <w:jc w:val="center"/>
        <w:rPr>
          <w:rFonts w:ascii="宋体" w:hAnsi="宋体" w:cs="宋体"/>
          <w:b/>
          <w:bCs/>
          <w:sz w:val="44"/>
          <w:szCs w:val="44"/>
        </w:rPr>
      </w:pPr>
    </w:p>
    <w:p w14:paraId="049086CF">
      <w:pPr>
        <w:tabs>
          <w:tab w:val="left" w:pos="406"/>
        </w:tabs>
        <w:adjustRightInd w:val="0"/>
        <w:snapToGrid w:val="0"/>
        <w:spacing w:line="300" w:lineRule="auto"/>
        <w:ind w:firstLine="3092" w:firstLineChars="700"/>
        <w:jc w:val="center"/>
        <w:rPr>
          <w:rFonts w:ascii="宋体" w:hAnsi="宋体" w:cs="宋体"/>
          <w:b/>
          <w:bCs/>
          <w:sz w:val="44"/>
          <w:szCs w:val="44"/>
        </w:rPr>
      </w:pPr>
    </w:p>
    <w:p w14:paraId="3E3CD0CF">
      <w:pPr>
        <w:tabs>
          <w:tab w:val="left" w:pos="406"/>
        </w:tabs>
        <w:adjustRightInd w:val="0"/>
        <w:snapToGrid w:val="0"/>
        <w:spacing w:line="300" w:lineRule="auto"/>
        <w:ind w:firstLine="3092" w:firstLineChars="700"/>
        <w:rPr>
          <w:rFonts w:ascii="宋体" w:hAnsi="宋体" w:cs="宋体"/>
          <w:b/>
          <w:bCs/>
          <w:sz w:val="44"/>
          <w:szCs w:val="44"/>
        </w:rPr>
      </w:pPr>
      <w:r>
        <w:rPr>
          <w:rFonts w:hint="eastAsia" w:ascii="宋体" w:hAnsi="宋体" w:cs="宋体"/>
          <w:b/>
          <w:bCs/>
          <w:sz w:val="44"/>
          <w:szCs w:val="44"/>
        </w:rPr>
        <w:t>招标文件</w:t>
      </w:r>
    </w:p>
    <w:p w14:paraId="38F3E619">
      <w:pPr>
        <w:tabs>
          <w:tab w:val="left" w:pos="406"/>
        </w:tabs>
        <w:adjustRightInd w:val="0"/>
        <w:snapToGrid w:val="0"/>
        <w:spacing w:line="300" w:lineRule="auto"/>
        <w:ind w:firstLine="3000" w:firstLineChars="1000"/>
        <w:rPr>
          <w:rFonts w:ascii="宋体"/>
          <w:snapToGrid w:val="0"/>
          <w:sz w:val="30"/>
          <w:szCs w:val="30"/>
        </w:rPr>
      </w:pPr>
    </w:p>
    <w:p w14:paraId="454CD38A">
      <w:pPr>
        <w:tabs>
          <w:tab w:val="left" w:pos="406"/>
        </w:tabs>
        <w:adjustRightInd w:val="0"/>
        <w:snapToGrid w:val="0"/>
        <w:spacing w:line="300" w:lineRule="auto"/>
        <w:ind w:firstLine="3000" w:firstLineChars="1000"/>
        <w:rPr>
          <w:rFonts w:ascii="宋体"/>
          <w:snapToGrid w:val="0"/>
          <w:sz w:val="30"/>
          <w:szCs w:val="30"/>
        </w:rPr>
      </w:pPr>
    </w:p>
    <w:p w14:paraId="5568493B">
      <w:pPr>
        <w:tabs>
          <w:tab w:val="left" w:pos="406"/>
        </w:tabs>
        <w:adjustRightInd w:val="0"/>
        <w:snapToGrid w:val="0"/>
        <w:spacing w:line="300" w:lineRule="auto"/>
        <w:ind w:firstLine="3000" w:firstLineChars="1000"/>
        <w:rPr>
          <w:rFonts w:ascii="宋体"/>
          <w:snapToGrid w:val="0"/>
          <w:sz w:val="30"/>
          <w:szCs w:val="30"/>
        </w:rPr>
      </w:pPr>
    </w:p>
    <w:p w14:paraId="74F8F8AA">
      <w:pPr>
        <w:adjustRightInd w:val="0"/>
        <w:snapToGrid w:val="0"/>
        <w:spacing w:line="300" w:lineRule="auto"/>
        <w:jc w:val="center"/>
        <w:rPr>
          <w:rFonts w:ascii="宋体" w:hAnsi="宋体" w:cs="宋体"/>
          <w:snapToGrid w:val="0"/>
          <w:sz w:val="30"/>
          <w:szCs w:val="30"/>
        </w:rPr>
      </w:pPr>
      <w:r>
        <w:rPr>
          <w:rFonts w:hint="eastAsia" w:ascii="宋体" w:hAnsi="宋体" w:cs="宋体"/>
          <w:snapToGrid w:val="0"/>
          <w:sz w:val="30"/>
          <w:szCs w:val="30"/>
        </w:rPr>
        <w:t>项目编号：NCHS20251022-ZB-HW20</w:t>
      </w:r>
    </w:p>
    <w:p w14:paraId="381DC452">
      <w:pPr>
        <w:tabs>
          <w:tab w:val="left" w:pos="406"/>
        </w:tabs>
        <w:adjustRightInd w:val="0"/>
        <w:snapToGrid w:val="0"/>
        <w:spacing w:line="300" w:lineRule="auto"/>
        <w:rPr>
          <w:rFonts w:ascii="宋体"/>
          <w:b/>
          <w:bCs/>
          <w:snapToGrid w:val="0"/>
          <w:sz w:val="72"/>
          <w:szCs w:val="72"/>
        </w:rPr>
      </w:pPr>
    </w:p>
    <w:p w14:paraId="6683B3B9">
      <w:pPr>
        <w:tabs>
          <w:tab w:val="left" w:pos="406"/>
        </w:tabs>
        <w:adjustRightInd w:val="0"/>
        <w:snapToGrid w:val="0"/>
        <w:spacing w:line="300" w:lineRule="auto"/>
        <w:rPr>
          <w:rFonts w:ascii="宋体"/>
          <w:b/>
          <w:bCs/>
          <w:snapToGrid w:val="0"/>
          <w:sz w:val="72"/>
          <w:szCs w:val="72"/>
        </w:rPr>
      </w:pPr>
    </w:p>
    <w:p w14:paraId="742FC9A2">
      <w:pPr>
        <w:tabs>
          <w:tab w:val="left" w:pos="406"/>
        </w:tabs>
        <w:adjustRightInd w:val="0"/>
        <w:snapToGrid w:val="0"/>
        <w:spacing w:line="300" w:lineRule="auto"/>
        <w:rPr>
          <w:rFonts w:ascii="宋体" w:hAnsi="宋体" w:cs="宋体"/>
          <w:snapToGrid w:val="0"/>
          <w:sz w:val="30"/>
          <w:szCs w:val="30"/>
          <w:u w:val="single"/>
        </w:rPr>
      </w:pPr>
      <w:r>
        <w:rPr>
          <w:rFonts w:hint="eastAsia" w:ascii="宋体" w:hAnsi="宋体" w:cs="宋体"/>
          <w:snapToGrid w:val="0"/>
          <w:sz w:val="30"/>
          <w:szCs w:val="30"/>
        </w:rPr>
        <w:t>招标人（章）：</w:t>
      </w:r>
      <w:r>
        <w:rPr>
          <w:rFonts w:hint="eastAsia" w:ascii="宋体" w:hAnsi="宋体" w:cs="宋体"/>
          <w:snapToGrid w:val="0"/>
          <w:sz w:val="30"/>
          <w:szCs w:val="30"/>
          <w:u w:val="single"/>
        </w:rPr>
        <w:t>南京财经大学红山学院采购与招标工作小组</w:t>
      </w:r>
    </w:p>
    <w:p w14:paraId="6EC9215D">
      <w:pPr>
        <w:tabs>
          <w:tab w:val="left" w:pos="406"/>
        </w:tabs>
        <w:adjustRightInd w:val="0"/>
        <w:snapToGrid w:val="0"/>
        <w:spacing w:line="300" w:lineRule="auto"/>
        <w:ind w:firstLine="2400" w:firstLineChars="800"/>
        <w:rPr>
          <w:rFonts w:ascii="宋体"/>
          <w:snapToGrid w:val="0"/>
          <w:sz w:val="30"/>
          <w:szCs w:val="30"/>
        </w:rPr>
      </w:pPr>
    </w:p>
    <w:p w14:paraId="7D20C20E">
      <w:pPr>
        <w:tabs>
          <w:tab w:val="left" w:pos="406"/>
        </w:tabs>
        <w:adjustRightInd w:val="0"/>
        <w:snapToGrid w:val="0"/>
        <w:spacing w:line="300" w:lineRule="auto"/>
        <w:jc w:val="center"/>
        <w:rPr>
          <w:rFonts w:ascii="宋体" w:hAnsi="宋体" w:cs="宋体"/>
          <w:snapToGrid w:val="0"/>
          <w:sz w:val="30"/>
          <w:szCs w:val="30"/>
        </w:rPr>
      </w:pPr>
      <w:r>
        <w:rPr>
          <w:rFonts w:hint="eastAsia" w:ascii="宋体" w:hAnsi="宋体" w:cs="宋体"/>
          <w:snapToGrid w:val="0"/>
          <w:sz w:val="30"/>
          <w:szCs w:val="30"/>
        </w:rPr>
        <w:t>时间：2025年10月</w:t>
      </w:r>
      <w:r>
        <w:rPr>
          <w:rFonts w:hint="eastAsia" w:ascii="宋体" w:hAnsi="宋体" w:cs="宋体"/>
          <w:snapToGrid w:val="0"/>
          <w:sz w:val="30"/>
          <w:szCs w:val="30"/>
          <w:lang w:val="en-US" w:eastAsia="zh-CN"/>
        </w:rPr>
        <w:t>23</w:t>
      </w:r>
      <w:r>
        <w:rPr>
          <w:rFonts w:hint="eastAsia" w:ascii="宋体" w:hAnsi="宋体" w:cs="宋体"/>
          <w:snapToGrid w:val="0"/>
          <w:sz w:val="30"/>
          <w:szCs w:val="30"/>
        </w:rPr>
        <w:t>日</w:t>
      </w:r>
    </w:p>
    <w:p w14:paraId="72A24DD7"/>
    <w:p w14:paraId="105A57E1">
      <w:pPr>
        <w:pStyle w:val="2"/>
      </w:pPr>
    </w:p>
    <w:p w14:paraId="551EB05B"/>
    <w:p w14:paraId="01C240FD">
      <w:pPr>
        <w:pStyle w:val="2"/>
      </w:pPr>
    </w:p>
    <w:p w14:paraId="63612898"/>
    <w:p w14:paraId="3CACC51D">
      <w:pPr>
        <w:pStyle w:val="2"/>
      </w:pPr>
    </w:p>
    <w:p w14:paraId="705CF2F4"/>
    <w:p w14:paraId="5B340C63">
      <w:pPr>
        <w:tabs>
          <w:tab w:val="left" w:pos="406"/>
        </w:tabs>
        <w:adjustRightInd w:val="0"/>
        <w:jc w:val="center"/>
        <w:rPr>
          <w:rFonts w:ascii="宋体" w:hAnsi="宋体" w:cs="宋体"/>
          <w:b/>
          <w:bCs/>
          <w:snapToGrid w:val="0"/>
          <w:sz w:val="28"/>
          <w:szCs w:val="28"/>
        </w:rPr>
      </w:pPr>
      <w:r>
        <w:rPr>
          <w:rFonts w:hint="eastAsia"/>
          <w:b/>
          <w:bCs/>
          <w:sz w:val="28"/>
          <w:szCs w:val="28"/>
        </w:rPr>
        <w:t>供应商须知前附表</w:t>
      </w:r>
    </w:p>
    <w:tbl>
      <w:tblPr>
        <w:tblStyle w:val="13"/>
        <w:tblpPr w:leftFromText="181" w:rightFromText="181" w:bottomFromText="227" w:vertAnchor="page" w:horzAnchor="page" w:tblpX="1770" w:tblpY="2252"/>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512"/>
        <w:gridCol w:w="459"/>
        <w:gridCol w:w="1212"/>
        <w:gridCol w:w="31"/>
        <w:gridCol w:w="2778"/>
      </w:tblGrid>
      <w:tr w14:paraId="5543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547" w:type="dxa"/>
            <w:tcBorders>
              <w:top w:val="single" w:color="auto" w:sz="4" w:space="0"/>
              <w:left w:val="single" w:color="auto" w:sz="4" w:space="0"/>
              <w:bottom w:val="single" w:color="auto" w:sz="4" w:space="0"/>
              <w:right w:val="single" w:color="auto" w:sz="4" w:space="0"/>
            </w:tcBorders>
            <w:vAlign w:val="center"/>
          </w:tcPr>
          <w:p w14:paraId="76380B92">
            <w:pPr>
              <w:rPr>
                <w:b/>
              </w:rPr>
            </w:pPr>
            <w:r>
              <w:rPr>
                <w:rFonts w:hint="eastAsia"/>
                <w:b/>
              </w:rPr>
              <w:t>项目名称</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1F361A64">
            <w:pPr>
              <w:tabs>
                <w:tab w:val="left" w:pos="406"/>
              </w:tabs>
              <w:jc w:val="left"/>
            </w:pPr>
            <w:r>
              <w:rPr>
                <w:rFonts w:hint="eastAsia"/>
              </w:rPr>
              <w:t>南京财经大学红山学院计算机课程考试系统软件采购项目</w:t>
            </w:r>
          </w:p>
        </w:tc>
      </w:tr>
      <w:tr w14:paraId="136B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547" w:type="dxa"/>
            <w:tcBorders>
              <w:top w:val="single" w:color="auto" w:sz="4" w:space="0"/>
              <w:left w:val="single" w:color="auto" w:sz="4" w:space="0"/>
              <w:bottom w:val="single" w:color="auto" w:sz="4" w:space="0"/>
              <w:right w:val="single" w:color="auto" w:sz="4" w:space="0"/>
            </w:tcBorders>
            <w:vAlign w:val="center"/>
          </w:tcPr>
          <w:p w14:paraId="6599D2D7">
            <w:pPr>
              <w:rPr>
                <w:b/>
              </w:rPr>
            </w:pPr>
            <w:r>
              <w:rPr>
                <w:rFonts w:hint="eastAsia"/>
                <w:b/>
              </w:rPr>
              <w:t>项目地点</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67AE8A1A">
            <w:r>
              <w:rPr>
                <w:rFonts w:hint="eastAsia"/>
              </w:rPr>
              <w:t>南京财经大学红山学院高淳校区</w:t>
            </w:r>
          </w:p>
        </w:tc>
      </w:tr>
      <w:tr w14:paraId="086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547" w:type="dxa"/>
            <w:vMerge w:val="restart"/>
            <w:tcBorders>
              <w:top w:val="single" w:color="auto" w:sz="4" w:space="0"/>
              <w:left w:val="single" w:color="auto" w:sz="4" w:space="0"/>
              <w:bottom w:val="single" w:color="auto" w:sz="4" w:space="0"/>
              <w:right w:val="single" w:color="auto" w:sz="4" w:space="0"/>
            </w:tcBorders>
            <w:vAlign w:val="center"/>
          </w:tcPr>
          <w:p w14:paraId="3326679B">
            <w:pPr>
              <w:rPr>
                <w:b/>
              </w:rPr>
            </w:pPr>
            <w:r>
              <w:rPr>
                <w:rFonts w:hint="eastAsia"/>
                <w:b/>
              </w:rPr>
              <w:t>项目负责人</w:t>
            </w:r>
          </w:p>
        </w:tc>
        <w:tc>
          <w:tcPr>
            <w:tcW w:w="2971" w:type="dxa"/>
            <w:gridSpan w:val="2"/>
            <w:vMerge w:val="restart"/>
            <w:tcBorders>
              <w:top w:val="single" w:color="auto" w:sz="4" w:space="0"/>
              <w:left w:val="single" w:color="auto" w:sz="4" w:space="0"/>
              <w:bottom w:val="single" w:color="auto" w:sz="4" w:space="0"/>
              <w:right w:val="single" w:color="auto" w:sz="4" w:space="0"/>
            </w:tcBorders>
            <w:vAlign w:val="center"/>
          </w:tcPr>
          <w:p w14:paraId="7F72B351">
            <w:r>
              <w:rPr>
                <w:rFonts w:hint="eastAsia"/>
              </w:rPr>
              <w:t>杨老师</w:t>
            </w:r>
          </w:p>
        </w:tc>
        <w:tc>
          <w:tcPr>
            <w:tcW w:w="1212" w:type="dxa"/>
            <w:tcBorders>
              <w:top w:val="single" w:color="auto" w:sz="4" w:space="0"/>
              <w:left w:val="single" w:color="auto" w:sz="4" w:space="0"/>
              <w:bottom w:val="single" w:color="auto" w:sz="4" w:space="0"/>
              <w:right w:val="single" w:color="auto" w:sz="4" w:space="0"/>
            </w:tcBorders>
            <w:vAlign w:val="center"/>
          </w:tcPr>
          <w:p w14:paraId="0F144D10">
            <w:pPr>
              <w:rPr>
                <w:b/>
              </w:rPr>
            </w:pPr>
            <w:r>
              <w:rPr>
                <w:rFonts w:hint="eastAsia"/>
                <w:b/>
              </w:rPr>
              <w:t>联系电话</w:t>
            </w:r>
          </w:p>
        </w:tc>
        <w:tc>
          <w:tcPr>
            <w:tcW w:w="2809" w:type="dxa"/>
            <w:gridSpan w:val="2"/>
            <w:tcBorders>
              <w:top w:val="single" w:color="auto" w:sz="4" w:space="0"/>
              <w:left w:val="single" w:color="auto" w:sz="4" w:space="0"/>
              <w:bottom w:val="single" w:color="auto" w:sz="4" w:space="0"/>
              <w:right w:val="single" w:color="auto" w:sz="4" w:space="0"/>
            </w:tcBorders>
            <w:vAlign w:val="center"/>
          </w:tcPr>
          <w:p w14:paraId="27E41A83">
            <w:r>
              <w:rPr>
                <w:rFonts w:hint="eastAsia"/>
              </w:rPr>
              <w:t>17768141774</w:t>
            </w:r>
          </w:p>
        </w:tc>
      </w:tr>
      <w:tr w14:paraId="5BB4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1547" w:type="dxa"/>
            <w:vMerge w:val="continue"/>
            <w:tcBorders>
              <w:top w:val="single" w:color="auto" w:sz="4" w:space="0"/>
              <w:left w:val="single" w:color="auto" w:sz="4" w:space="0"/>
              <w:bottom w:val="single" w:color="auto" w:sz="4" w:space="0"/>
              <w:right w:val="single" w:color="auto" w:sz="4" w:space="0"/>
            </w:tcBorders>
            <w:vAlign w:val="center"/>
          </w:tcPr>
          <w:p w14:paraId="7013EAAE">
            <w:pPr>
              <w:spacing w:line="300" w:lineRule="auto"/>
              <w:rPr>
                <w:rFonts w:ascii="宋体"/>
                <w:b/>
              </w:rPr>
            </w:pPr>
          </w:p>
        </w:tc>
        <w:tc>
          <w:tcPr>
            <w:tcW w:w="2971" w:type="dxa"/>
            <w:gridSpan w:val="2"/>
            <w:vMerge w:val="continue"/>
            <w:tcBorders>
              <w:top w:val="single" w:color="auto" w:sz="4" w:space="0"/>
              <w:left w:val="single" w:color="auto" w:sz="4" w:space="0"/>
              <w:bottom w:val="single" w:color="auto" w:sz="4" w:space="0"/>
              <w:right w:val="single" w:color="auto" w:sz="4" w:space="0"/>
            </w:tcBorders>
            <w:vAlign w:val="center"/>
          </w:tcPr>
          <w:p w14:paraId="7A068F30">
            <w:pPr>
              <w:spacing w:line="300" w:lineRule="auto"/>
              <w:rPr>
                <w:rFonts w:ascii="宋体"/>
              </w:rPr>
            </w:pPr>
          </w:p>
        </w:tc>
        <w:tc>
          <w:tcPr>
            <w:tcW w:w="1212" w:type="dxa"/>
            <w:tcBorders>
              <w:top w:val="single" w:color="auto" w:sz="4" w:space="0"/>
              <w:left w:val="single" w:color="auto" w:sz="4" w:space="0"/>
              <w:bottom w:val="single" w:color="auto" w:sz="4" w:space="0"/>
              <w:right w:val="single" w:color="auto" w:sz="4" w:space="0"/>
            </w:tcBorders>
            <w:vAlign w:val="center"/>
          </w:tcPr>
          <w:p w14:paraId="3D23EC80">
            <w:pPr>
              <w:rPr>
                <w:b/>
              </w:rPr>
            </w:pPr>
            <w:r>
              <w:rPr>
                <w:rFonts w:hint="eastAsia"/>
                <w:b/>
              </w:rPr>
              <w:t>传真</w:t>
            </w:r>
          </w:p>
        </w:tc>
        <w:tc>
          <w:tcPr>
            <w:tcW w:w="2809" w:type="dxa"/>
            <w:gridSpan w:val="2"/>
            <w:tcBorders>
              <w:top w:val="single" w:color="auto" w:sz="4" w:space="0"/>
              <w:left w:val="single" w:color="auto" w:sz="4" w:space="0"/>
              <w:bottom w:val="single" w:color="auto" w:sz="4" w:space="0"/>
              <w:right w:val="single" w:color="auto" w:sz="4" w:space="0"/>
            </w:tcBorders>
            <w:vAlign w:val="center"/>
          </w:tcPr>
          <w:p w14:paraId="144ED806">
            <w:r>
              <w:rPr>
                <w:rFonts w:hint="eastAsia"/>
              </w:rPr>
              <w:t>/</w:t>
            </w:r>
          </w:p>
        </w:tc>
      </w:tr>
      <w:tr w14:paraId="089F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1547" w:type="dxa"/>
            <w:tcBorders>
              <w:top w:val="single" w:color="auto" w:sz="4" w:space="0"/>
              <w:left w:val="single" w:color="auto" w:sz="4" w:space="0"/>
              <w:bottom w:val="single" w:color="auto" w:sz="4" w:space="0"/>
              <w:right w:val="single" w:color="auto" w:sz="4" w:space="0"/>
            </w:tcBorders>
            <w:vAlign w:val="center"/>
          </w:tcPr>
          <w:p w14:paraId="0BA9E90E">
            <w:pPr>
              <w:rPr>
                <w:b/>
              </w:rPr>
            </w:pPr>
            <w:r>
              <w:rPr>
                <w:rFonts w:hint="eastAsia"/>
                <w:b/>
              </w:rPr>
              <w:t>项目承办单位</w:t>
            </w:r>
          </w:p>
        </w:tc>
        <w:tc>
          <w:tcPr>
            <w:tcW w:w="2971" w:type="dxa"/>
            <w:gridSpan w:val="2"/>
            <w:tcBorders>
              <w:top w:val="single" w:color="auto" w:sz="4" w:space="0"/>
              <w:left w:val="single" w:color="auto" w:sz="4" w:space="0"/>
              <w:bottom w:val="single" w:color="auto" w:sz="4" w:space="0"/>
              <w:right w:val="single" w:color="auto" w:sz="4" w:space="0"/>
            </w:tcBorders>
            <w:vAlign w:val="center"/>
          </w:tcPr>
          <w:p w14:paraId="2F5D2779">
            <w:r>
              <w:rPr>
                <w:rFonts w:hint="eastAsia"/>
              </w:rPr>
              <w:t>公共基础学院</w:t>
            </w:r>
          </w:p>
        </w:tc>
        <w:tc>
          <w:tcPr>
            <w:tcW w:w="1212" w:type="dxa"/>
            <w:tcBorders>
              <w:top w:val="single" w:color="auto" w:sz="4" w:space="0"/>
              <w:left w:val="single" w:color="auto" w:sz="4" w:space="0"/>
              <w:bottom w:val="single" w:color="auto" w:sz="4" w:space="0"/>
              <w:right w:val="single" w:color="auto" w:sz="4" w:space="0"/>
            </w:tcBorders>
            <w:vAlign w:val="center"/>
          </w:tcPr>
          <w:p w14:paraId="2B58FD1B">
            <w:pPr>
              <w:rPr>
                <w:b/>
              </w:rPr>
            </w:pPr>
            <w:r>
              <w:rPr>
                <w:rFonts w:hint="eastAsia"/>
                <w:b/>
              </w:rPr>
              <w:t>采购方式</w:t>
            </w:r>
          </w:p>
        </w:tc>
        <w:tc>
          <w:tcPr>
            <w:tcW w:w="2809" w:type="dxa"/>
            <w:gridSpan w:val="2"/>
            <w:tcBorders>
              <w:top w:val="single" w:color="auto" w:sz="4" w:space="0"/>
              <w:left w:val="single" w:color="auto" w:sz="4" w:space="0"/>
              <w:bottom w:val="single" w:color="auto" w:sz="4" w:space="0"/>
              <w:right w:val="single" w:color="auto" w:sz="4" w:space="0"/>
            </w:tcBorders>
            <w:vAlign w:val="center"/>
          </w:tcPr>
          <w:p w14:paraId="1014D327">
            <w:r>
              <w:rPr>
                <w:rFonts w:hint="eastAsia"/>
              </w:rPr>
              <w:t>公开招标</w:t>
            </w:r>
          </w:p>
        </w:tc>
      </w:tr>
      <w:tr w14:paraId="2FCF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547" w:type="dxa"/>
            <w:tcBorders>
              <w:top w:val="single" w:color="auto" w:sz="4" w:space="0"/>
              <w:left w:val="single" w:color="auto" w:sz="4" w:space="0"/>
              <w:bottom w:val="single" w:color="auto" w:sz="4" w:space="0"/>
              <w:right w:val="single" w:color="auto" w:sz="4" w:space="0"/>
            </w:tcBorders>
            <w:vAlign w:val="center"/>
          </w:tcPr>
          <w:p w14:paraId="369562F7">
            <w:pPr>
              <w:rPr>
                <w:b/>
              </w:rPr>
            </w:pPr>
            <w:r>
              <w:rPr>
                <w:rFonts w:hint="eastAsia"/>
                <w:b/>
              </w:rPr>
              <w:t>招标内容</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629C9969">
            <w:r>
              <w:rPr>
                <w:rFonts w:hint="eastAsia"/>
              </w:rPr>
              <w:t>公开招标确定南京财经大学红山学院计算机课程考试系统软件采购供应商。</w:t>
            </w:r>
          </w:p>
        </w:tc>
      </w:tr>
      <w:tr w14:paraId="2B66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547" w:type="dxa"/>
            <w:tcBorders>
              <w:top w:val="single" w:color="auto" w:sz="4" w:space="0"/>
              <w:left w:val="single" w:color="auto" w:sz="4" w:space="0"/>
              <w:bottom w:val="single" w:color="auto" w:sz="4" w:space="0"/>
              <w:right w:val="single" w:color="auto" w:sz="4" w:space="0"/>
            </w:tcBorders>
            <w:vAlign w:val="center"/>
          </w:tcPr>
          <w:p w14:paraId="2F2BAC7B">
            <w:pPr>
              <w:rPr>
                <w:b/>
              </w:rPr>
            </w:pPr>
            <w:r>
              <w:rPr>
                <w:rFonts w:hint="eastAsia"/>
                <w:b/>
              </w:rPr>
              <w:t>付款方式</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2015B5D1">
            <w:pPr>
              <w:tabs>
                <w:tab w:val="left" w:pos="406"/>
              </w:tabs>
              <w:jc w:val="left"/>
            </w:pPr>
            <w:bookmarkStart w:id="0" w:name="OLE_LINK3"/>
            <w:bookmarkStart w:id="1" w:name="OLE_LINK1"/>
            <w:r>
              <w:rPr>
                <w:rFonts w:hint="eastAsia" w:ascii="宋体" w:hAnsi="宋体" w:cs="宋体"/>
                <w:bCs/>
                <w:szCs w:val="21"/>
              </w:rPr>
              <w:t>项目交付测试完成并通过采购人组织的正式验收合格且无争议，半年后支付全部货款的【60】%，满一年后支付全部货款的【30】%，全部货款的【10】%作为质保金。如无质量问题，每年按照质保期限等比例无息支付。遇寒暑假顺延，供应商开具全额增值税普通发票。</w:t>
            </w:r>
            <w:bookmarkEnd w:id="0"/>
            <w:bookmarkEnd w:id="1"/>
          </w:p>
        </w:tc>
      </w:tr>
      <w:tr w14:paraId="3480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547" w:type="dxa"/>
            <w:tcBorders>
              <w:top w:val="single" w:color="auto" w:sz="4" w:space="0"/>
              <w:left w:val="single" w:color="auto" w:sz="4" w:space="0"/>
              <w:bottom w:val="single" w:color="auto" w:sz="4" w:space="0"/>
              <w:right w:val="single" w:color="auto" w:sz="4" w:space="0"/>
            </w:tcBorders>
            <w:vAlign w:val="center"/>
          </w:tcPr>
          <w:p w14:paraId="17ACA905">
            <w:pPr>
              <w:rPr>
                <w:b/>
              </w:rPr>
            </w:pPr>
            <w:r>
              <w:rPr>
                <w:rFonts w:hint="eastAsia"/>
                <w:b/>
              </w:rPr>
              <w:t>交付期</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3A9CA44D">
            <w:r>
              <w:rPr>
                <w:rFonts w:hint="eastAsia"/>
              </w:rPr>
              <w:t>合同签订后一周内安装调试完毕。</w:t>
            </w:r>
          </w:p>
        </w:tc>
      </w:tr>
      <w:tr w14:paraId="29E8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547" w:type="dxa"/>
            <w:tcBorders>
              <w:top w:val="single" w:color="auto" w:sz="4" w:space="0"/>
              <w:left w:val="single" w:color="auto" w:sz="4" w:space="0"/>
              <w:bottom w:val="single" w:color="auto" w:sz="4" w:space="0"/>
              <w:right w:val="single" w:color="auto" w:sz="4" w:space="0"/>
            </w:tcBorders>
            <w:vAlign w:val="center"/>
          </w:tcPr>
          <w:p w14:paraId="03CB5A1F">
            <w:pPr>
              <w:rPr>
                <w:b/>
              </w:rPr>
            </w:pPr>
            <w:r>
              <w:rPr>
                <w:rFonts w:hint="eastAsia"/>
                <w:b/>
              </w:rPr>
              <w:t>投标文件份数</w:t>
            </w:r>
          </w:p>
        </w:tc>
        <w:tc>
          <w:tcPr>
            <w:tcW w:w="2512" w:type="dxa"/>
            <w:tcBorders>
              <w:top w:val="single" w:color="auto" w:sz="4" w:space="0"/>
              <w:left w:val="single" w:color="auto" w:sz="4" w:space="0"/>
              <w:bottom w:val="single" w:color="auto" w:sz="4" w:space="0"/>
              <w:right w:val="single" w:color="auto" w:sz="4" w:space="0"/>
            </w:tcBorders>
            <w:vAlign w:val="center"/>
          </w:tcPr>
          <w:p w14:paraId="22C83186">
            <w:r>
              <w:rPr>
                <w:rFonts w:hint="eastAsia"/>
              </w:rPr>
              <w:t>一套正本四套副本</w:t>
            </w:r>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75C137F3">
            <w:pPr>
              <w:rPr>
                <w:b/>
              </w:rPr>
            </w:pPr>
            <w:r>
              <w:rPr>
                <w:rFonts w:hint="eastAsia"/>
                <w:b/>
              </w:rPr>
              <w:t>是否需要样品</w:t>
            </w:r>
          </w:p>
        </w:tc>
        <w:tc>
          <w:tcPr>
            <w:tcW w:w="2778" w:type="dxa"/>
            <w:tcBorders>
              <w:top w:val="single" w:color="auto" w:sz="4" w:space="0"/>
              <w:left w:val="single" w:color="auto" w:sz="4" w:space="0"/>
              <w:bottom w:val="single" w:color="auto" w:sz="4" w:space="0"/>
              <w:right w:val="single" w:color="auto" w:sz="4" w:space="0"/>
            </w:tcBorders>
            <w:vAlign w:val="center"/>
          </w:tcPr>
          <w:p w14:paraId="7711068C">
            <w:r>
              <w:rPr>
                <w:rFonts w:hint="eastAsia"/>
              </w:rPr>
              <w:t>否</w:t>
            </w:r>
          </w:p>
        </w:tc>
      </w:tr>
      <w:tr w14:paraId="3404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4" w:hRule="atLeast"/>
        </w:trPr>
        <w:tc>
          <w:tcPr>
            <w:tcW w:w="1547" w:type="dxa"/>
            <w:tcBorders>
              <w:top w:val="single" w:color="auto" w:sz="4" w:space="0"/>
              <w:left w:val="single" w:color="auto" w:sz="4" w:space="0"/>
              <w:bottom w:val="single" w:color="auto" w:sz="4" w:space="0"/>
              <w:right w:val="single" w:color="auto" w:sz="4" w:space="0"/>
            </w:tcBorders>
            <w:vAlign w:val="center"/>
          </w:tcPr>
          <w:p w14:paraId="33C25C95">
            <w:pPr>
              <w:ind w:left="211" w:hanging="211" w:hangingChars="100"/>
              <w:rPr>
                <w:b/>
              </w:rPr>
            </w:pPr>
            <w:r>
              <w:rPr>
                <w:rFonts w:hint="eastAsia"/>
                <w:b/>
              </w:rPr>
              <w:t>投标保证金、合同履约金</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679D2AD2">
            <w:pPr>
              <w:wordWrap w:val="0"/>
              <w:jc w:val="left"/>
              <w:rPr>
                <w:rFonts w:ascii="宋体" w:hAnsi="宋体" w:cs="宋体"/>
              </w:rPr>
            </w:pPr>
            <w:r>
              <w:rPr>
                <w:rFonts w:hint="eastAsia" w:ascii="宋体" w:hAnsi="宋体" w:cs="宋体"/>
              </w:rPr>
              <w:t xml:space="preserve">1.投标保证金：人民币叁仟陆佰元整（¥3600.00） </w:t>
            </w:r>
          </w:p>
          <w:p w14:paraId="4246DADB">
            <w:pPr>
              <w:wordWrap w:val="0"/>
              <w:jc w:val="left"/>
              <w:rPr>
                <w:rFonts w:ascii="宋体" w:hAnsi="宋体" w:cs="宋体"/>
              </w:rPr>
            </w:pPr>
            <w:r>
              <w:rPr>
                <w:rFonts w:hint="eastAsia" w:ascii="宋体" w:hAnsi="宋体" w:cs="宋体"/>
              </w:rPr>
              <w:t>项目中标公示期满后15个工作日内退还，如遇寒、暑假，保证金退还时间顺延。</w:t>
            </w:r>
          </w:p>
          <w:p w14:paraId="013F9CC6">
            <w:pPr>
              <w:wordWrap w:val="0"/>
              <w:jc w:val="left"/>
              <w:rPr>
                <w:rFonts w:ascii="宋体" w:hAnsi="宋体" w:cs="宋体"/>
              </w:rPr>
            </w:pPr>
            <w:r>
              <w:rPr>
                <w:rFonts w:hint="eastAsia" w:ascii="宋体" w:hAnsi="宋体" w:cs="宋体"/>
              </w:rPr>
              <w:t>2.履约保证金：中标人在收到中标通知书后，签订合同前缴纳中标金额的10%作为履约保证金。合同履行完毕后且无履约纠纷30日内无息退回。</w:t>
            </w:r>
          </w:p>
          <w:p w14:paraId="70A90E5E">
            <w:pPr>
              <w:wordWrap w:val="0"/>
              <w:jc w:val="left"/>
              <w:rPr>
                <w:rFonts w:ascii="宋体" w:hAnsi="宋体" w:cs="宋体"/>
              </w:rPr>
            </w:pPr>
            <w:r>
              <w:rPr>
                <w:rFonts w:hint="eastAsia" w:ascii="宋体" w:hAnsi="宋体" w:cs="宋体"/>
              </w:rPr>
              <w:t>保证金形式：响应人对公转账</w:t>
            </w:r>
          </w:p>
          <w:p w14:paraId="5E40C17C">
            <w:pPr>
              <w:wordWrap w:val="0"/>
              <w:jc w:val="left"/>
              <w:rPr>
                <w:rFonts w:ascii="宋体" w:hAnsi="宋体" w:cs="宋体"/>
              </w:rPr>
            </w:pPr>
            <w:r>
              <w:rPr>
                <w:rFonts w:hint="eastAsia" w:ascii="宋体" w:hAnsi="宋体" w:cs="宋体"/>
              </w:rPr>
              <w:t>采购人银行账户信息：</w:t>
            </w:r>
          </w:p>
          <w:p w14:paraId="3507E655">
            <w:pPr>
              <w:wordWrap w:val="0"/>
              <w:jc w:val="left"/>
              <w:rPr>
                <w:rFonts w:ascii="宋体" w:hAnsi="宋体" w:cs="宋体"/>
              </w:rPr>
            </w:pPr>
            <w:r>
              <w:rPr>
                <w:rFonts w:hint="eastAsia" w:ascii="宋体" w:hAnsi="宋体" w:cs="宋体"/>
              </w:rPr>
              <w:t>户名：南京财经大学红山学院</w:t>
            </w:r>
          </w:p>
          <w:p w14:paraId="40150712">
            <w:pPr>
              <w:wordWrap w:val="0"/>
              <w:jc w:val="left"/>
              <w:rPr>
                <w:rFonts w:ascii="宋体" w:hAnsi="宋体" w:cs="宋体"/>
              </w:rPr>
            </w:pPr>
            <w:r>
              <w:rPr>
                <w:rFonts w:hint="eastAsia" w:ascii="宋体" w:hAnsi="宋体" w:cs="宋体"/>
              </w:rPr>
              <w:t>开户银行：工行南京察哈尔路支行</w:t>
            </w:r>
          </w:p>
          <w:p w14:paraId="061E39F5">
            <w:pPr>
              <w:wordWrap w:val="0"/>
              <w:jc w:val="left"/>
              <w:rPr>
                <w:rFonts w:ascii="宋体" w:hAnsi="宋体" w:cs="宋体"/>
              </w:rPr>
            </w:pPr>
            <w:r>
              <w:rPr>
                <w:rFonts w:hint="eastAsia" w:ascii="宋体" w:hAnsi="宋体" w:cs="宋体"/>
              </w:rPr>
              <w:t>账户：4301011209100225228</w:t>
            </w:r>
          </w:p>
          <w:p w14:paraId="53A7F939">
            <w:pPr>
              <w:wordWrap w:val="0"/>
              <w:jc w:val="left"/>
              <w:rPr>
                <w:rFonts w:ascii="宋体" w:hAnsi="宋体" w:cs="宋体"/>
              </w:rPr>
            </w:pPr>
            <w:r>
              <w:rPr>
                <w:rFonts w:hint="eastAsia" w:ascii="宋体" w:hAnsi="宋体" w:cs="宋体"/>
              </w:rPr>
              <w:t>供应商在汇款时，须在汇款单上注明项目编号:NCHS20251022-ZB-HW20 ,否则，因款项用途不明导致响应无效等后果由供应商自行承担。</w:t>
            </w:r>
          </w:p>
          <w:p w14:paraId="54729D49">
            <w:pPr>
              <w:wordWrap w:val="0"/>
              <w:jc w:val="left"/>
              <w:rPr>
                <w:rFonts w:ascii="宋体" w:hAnsi="宋体" w:cs="宋体"/>
              </w:rPr>
            </w:pPr>
            <w:r>
              <w:rPr>
                <w:rFonts w:hint="eastAsia" w:ascii="宋体" w:hAnsi="宋体" w:cs="宋体"/>
              </w:rPr>
              <w:t>供应商将投标保证金付款凭证复印件加盖公章放入响应文件封包中。未按要求缴纳保证金的响应为无效响应。</w:t>
            </w:r>
          </w:p>
          <w:p w14:paraId="6576B0BE">
            <w:pPr>
              <w:wordWrap w:val="0"/>
              <w:jc w:val="left"/>
              <w:rPr>
                <w:rFonts w:ascii="宋体" w:hAnsi="宋体" w:cs="宋体"/>
              </w:rPr>
            </w:pPr>
            <w:r>
              <w:rPr>
                <w:rFonts w:hint="eastAsia" w:ascii="宋体" w:hAnsi="宋体" w:cs="宋体"/>
              </w:rPr>
              <w:t>投标保证金退还事宜请联系：孔老师 18551677824。</w:t>
            </w:r>
          </w:p>
        </w:tc>
      </w:tr>
      <w:tr w14:paraId="1ACB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1547" w:type="dxa"/>
            <w:tcBorders>
              <w:top w:val="single" w:color="auto" w:sz="4" w:space="0"/>
              <w:left w:val="single" w:color="auto" w:sz="4" w:space="0"/>
              <w:bottom w:val="single" w:color="auto" w:sz="4" w:space="0"/>
              <w:right w:val="single" w:color="auto" w:sz="4" w:space="0"/>
            </w:tcBorders>
            <w:vAlign w:val="center"/>
          </w:tcPr>
          <w:p w14:paraId="70F8D7AE">
            <w:pPr>
              <w:rPr>
                <w:b/>
              </w:rPr>
            </w:pPr>
            <w:r>
              <w:rPr>
                <w:rFonts w:hint="eastAsia"/>
                <w:b/>
              </w:rPr>
              <w:t>标书工本费</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77B4D5C7">
            <w:pPr>
              <w:rPr>
                <w:rFonts w:ascii="宋体" w:hAnsi="宋体" w:cs="宋体"/>
              </w:rPr>
            </w:pPr>
            <w:r>
              <w:rPr>
                <w:rFonts w:hint="eastAsia" w:ascii="宋体" w:hAnsi="宋体" w:cs="宋体"/>
              </w:rPr>
              <w:t>无</w:t>
            </w:r>
          </w:p>
        </w:tc>
      </w:tr>
      <w:tr w14:paraId="5BD6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1547" w:type="dxa"/>
            <w:tcBorders>
              <w:top w:val="single" w:color="auto" w:sz="4" w:space="0"/>
              <w:left w:val="single" w:color="auto" w:sz="4" w:space="0"/>
              <w:bottom w:val="single" w:color="auto" w:sz="4" w:space="0"/>
              <w:right w:val="single" w:color="auto" w:sz="4" w:space="0"/>
            </w:tcBorders>
            <w:vAlign w:val="center"/>
          </w:tcPr>
          <w:p w14:paraId="35FA4C91">
            <w:pPr>
              <w:rPr>
                <w:b/>
              </w:rPr>
            </w:pPr>
            <w:r>
              <w:rPr>
                <w:rFonts w:ascii="宋体" w:hAnsi="宋体"/>
                <w:b/>
                <w:szCs w:val="21"/>
              </w:rPr>
              <w:t>获取</w:t>
            </w:r>
            <w:r>
              <w:rPr>
                <w:rFonts w:hint="eastAsia" w:ascii="宋体" w:hAnsi="宋体"/>
                <w:b/>
                <w:szCs w:val="21"/>
              </w:rPr>
              <w:t>招标</w:t>
            </w:r>
            <w:r>
              <w:rPr>
                <w:rFonts w:ascii="宋体" w:hAnsi="宋体"/>
                <w:b/>
                <w:szCs w:val="21"/>
              </w:rPr>
              <w:t>文件</w:t>
            </w:r>
          </w:p>
        </w:tc>
        <w:tc>
          <w:tcPr>
            <w:tcW w:w="6992" w:type="dxa"/>
            <w:gridSpan w:val="5"/>
            <w:tcBorders>
              <w:top w:val="single" w:color="auto" w:sz="4" w:space="0"/>
              <w:left w:val="single" w:color="auto" w:sz="4" w:space="0"/>
              <w:bottom w:val="single" w:color="auto" w:sz="4" w:space="0"/>
              <w:right w:val="single" w:color="auto" w:sz="4" w:space="0"/>
            </w:tcBorders>
            <w:vAlign w:val="bottom"/>
          </w:tcPr>
          <w:p w14:paraId="369BBC31">
            <w:pPr>
              <w:rPr>
                <w:rFonts w:ascii="宋体" w:hAnsi="宋体" w:cs="宋体"/>
              </w:rPr>
            </w:pPr>
            <w:r>
              <w:rPr>
                <w:rFonts w:hint="eastAsia" w:ascii="宋体" w:hAnsi="宋体" w:cs="宋体"/>
                <w:szCs w:val="21"/>
              </w:rPr>
              <w:t>投标人在南京财经大学红山学院官网“采购与招标信息”栏自行免费下载招标文件电子版。</w:t>
            </w:r>
          </w:p>
        </w:tc>
      </w:tr>
      <w:tr w14:paraId="57ED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47" w:type="dxa"/>
            <w:tcBorders>
              <w:top w:val="single" w:color="auto" w:sz="4" w:space="0"/>
              <w:left w:val="single" w:color="auto" w:sz="4" w:space="0"/>
              <w:bottom w:val="single" w:color="auto" w:sz="4" w:space="0"/>
              <w:right w:val="single" w:color="auto" w:sz="4" w:space="0"/>
            </w:tcBorders>
            <w:vAlign w:val="center"/>
          </w:tcPr>
          <w:p w14:paraId="67D8573C">
            <w:pPr>
              <w:rPr>
                <w:b/>
              </w:rPr>
            </w:pPr>
            <w:r>
              <w:rPr>
                <w:rFonts w:hint="eastAsia"/>
                <w:b/>
              </w:rPr>
              <w:t>免费服务期</w:t>
            </w:r>
          </w:p>
        </w:tc>
        <w:tc>
          <w:tcPr>
            <w:tcW w:w="6992" w:type="dxa"/>
            <w:gridSpan w:val="5"/>
            <w:tcBorders>
              <w:top w:val="single" w:color="auto" w:sz="4" w:space="0"/>
              <w:left w:val="single" w:color="auto" w:sz="4" w:space="0"/>
              <w:bottom w:val="single" w:color="auto" w:sz="4" w:space="0"/>
              <w:right w:val="single" w:color="auto" w:sz="4" w:space="0"/>
            </w:tcBorders>
            <w:vAlign w:val="bottom"/>
          </w:tcPr>
          <w:p w14:paraId="1A69B9DA">
            <w:pPr>
              <w:rPr>
                <w:rFonts w:ascii="宋体" w:hAnsi="宋体" w:cs="宋体"/>
                <w:szCs w:val="21"/>
                <w:highlight w:val="cyan"/>
              </w:rPr>
            </w:pPr>
            <w:r>
              <w:rPr>
                <w:rFonts w:hint="eastAsia" w:ascii="宋体" w:hAnsi="宋体" w:cs="宋体"/>
                <w:szCs w:val="21"/>
              </w:rPr>
              <w:t>自正式验收合格之日起不得少于3年的免费升级及服务。</w:t>
            </w:r>
          </w:p>
        </w:tc>
      </w:tr>
      <w:tr w14:paraId="0A8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1547" w:type="dxa"/>
            <w:tcBorders>
              <w:top w:val="single" w:color="auto" w:sz="4" w:space="0"/>
              <w:left w:val="single" w:color="auto" w:sz="4" w:space="0"/>
              <w:bottom w:val="single" w:color="auto" w:sz="4" w:space="0"/>
              <w:right w:val="single" w:color="auto" w:sz="4" w:space="0"/>
            </w:tcBorders>
            <w:vAlign w:val="center"/>
          </w:tcPr>
          <w:p w14:paraId="0F2A5B55">
            <w:pPr>
              <w:rPr>
                <w:b/>
              </w:rPr>
            </w:pPr>
            <w:r>
              <w:rPr>
                <w:rFonts w:hint="eastAsia"/>
                <w:b/>
              </w:rPr>
              <w:t>递交投标文件</w:t>
            </w:r>
          </w:p>
        </w:tc>
        <w:tc>
          <w:tcPr>
            <w:tcW w:w="6992" w:type="dxa"/>
            <w:gridSpan w:val="5"/>
            <w:tcBorders>
              <w:top w:val="single" w:color="auto" w:sz="4" w:space="0"/>
              <w:left w:val="single" w:color="auto" w:sz="4" w:space="0"/>
              <w:bottom w:val="single" w:color="auto" w:sz="4" w:space="0"/>
              <w:right w:val="single" w:color="auto" w:sz="4" w:space="0"/>
            </w:tcBorders>
            <w:vAlign w:val="bottom"/>
          </w:tcPr>
          <w:p w14:paraId="2B43F9C9">
            <w:pPr>
              <w:rPr>
                <w:rFonts w:ascii="宋体" w:hAnsi="宋体" w:cs="宋体"/>
              </w:rPr>
            </w:pPr>
            <w:r>
              <w:rPr>
                <w:rFonts w:hint="eastAsia" w:ascii="宋体" w:hAnsi="宋体" w:cs="宋体"/>
              </w:rPr>
              <w:t>地址：</w:t>
            </w:r>
            <w:r>
              <w:rPr>
                <w:rFonts w:hint="eastAsia" w:ascii="宋体" w:hAnsi="宋体" w:cs="宋体"/>
                <w:szCs w:val="21"/>
              </w:rPr>
              <w:t>江苏省南京市高淳区鹿鸣大道66号南京财经大学红山学院高淳校区</w:t>
            </w:r>
            <w:r>
              <w:rPr>
                <w:rFonts w:hint="eastAsia" w:ascii="宋体" w:hAnsi="宋体" w:cs="宋体"/>
              </w:rPr>
              <w:t>图书馆604室</w:t>
            </w:r>
          </w:p>
          <w:p w14:paraId="7847EE2B">
            <w:pPr>
              <w:rPr>
                <w:rFonts w:ascii="宋体" w:hAnsi="宋体" w:cs="宋体"/>
              </w:rPr>
            </w:pPr>
            <w:r>
              <w:rPr>
                <w:rFonts w:hint="eastAsia" w:ascii="宋体" w:hAnsi="宋体" w:cs="宋体"/>
              </w:rPr>
              <w:t>接收人：孔老师  联</w:t>
            </w:r>
            <w:r>
              <w:rPr>
                <w:rFonts w:hint="eastAsia" w:ascii="宋体" w:hAnsi="宋体" w:cs="宋体"/>
                <w:szCs w:val="21"/>
              </w:rPr>
              <w:t>系电话：18551677824</w:t>
            </w:r>
          </w:p>
          <w:p w14:paraId="0039A6C0">
            <w:pPr>
              <w:rPr>
                <w:rFonts w:ascii="宋体" w:hAnsi="宋体" w:cs="宋体"/>
                <w:szCs w:val="21"/>
              </w:rPr>
            </w:pPr>
            <w:r>
              <w:rPr>
                <w:rFonts w:hint="eastAsia" w:ascii="宋体" w:hAnsi="宋体" w:cs="宋体"/>
              </w:rPr>
              <w:t>投标截止时间：2025年11月</w:t>
            </w:r>
            <w:r>
              <w:rPr>
                <w:rFonts w:hint="eastAsia" w:ascii="宋体" w:hAnsi="宋体" w:cs="宋体"/>
                <w:lang w:val="en-US" w:eastAsia="zh-CN"/>
              </w:rPr>
              <w:t>11</w:t>
            </w:r>
            <w:r>
              <w:rPr>
                <w:rFonts w:hint="eastAsia" w:ascii="宋体" w:hAnsi="宋体" w:cs="宋体"/>
              </w:rPr>
              <w:t>日</w:t>
            </w:r>
            <w:r>
              <w:rPr>
                <w:rFonts w:hint="eastAsia" w:ascii="宋体" w:hAnsi="宋体" w:cs="宋体"/>
                <w:szCs w:val="21"/>
              </w:rPr>
              <w:t>上午11时00分（北京时间）</w:t>
            </w:r>
          </w:p>
        </w:tc>
      </w:tr>
      <w:tr w14:paraId="1A29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547" w:type="dxa"/>
            <w:tcBorders>
              <w:top w:val="single" w:color="auto" w:sz="4" w:space="0"/>
              <w:left w:val="single" w:color="auto" w:sz="4" w:space="0"/>
              <w:bottom w:val="single" w:color="auto" w:sz="4" w:space="0"/>
              <w:right w:val="single" w:color="auto" w:sz="4" w:space="0"/>
            </w:tcBorders>
            <w:vAlign w:val="center"/>
          </w:tcPr>
          <w:p w14:paraId="1FA38182">
            <w:pPr>
              <w:rPr>
                <w:rFonts w:ascii="宋体" w:hAnsi="宋体" w:cs="宋体"/>
                <w:szCs w:val="21"/>
              </w:rPr>
            </w:pPr>
            <w:r>
              <w:rPr>
                <w:rFonts w:hint="eastAsia"/>
                <w:b/>
              </w:rPr>
              <w:t>采购人信息</w:t>
            </w:r>
          </w:p>
        </w:tc>
        <w:tc>
          <w:tcPr>
            <w:tcW w:w="6992" w:type="dxa"/>
            <w:gridSpan w:val="5"/>
            <w:tcBorders>
              <w:top w:val="single" w:color="auto" w:sz="4" w:space="0"/>
              <w:left w:val="single" w:color="auto" w:sz="4" w:space="0"/>
              <w:bottom w:val="single" w:color="auto" w:sz="4" w:space="0"/>
              <w:right w:val="single" w:color="auto" w:sz="4" w:space="0"/>
            </w:tcBorders>
            <w:vAlign w:val="bottom"/>
          </w:tcPr>
          <w:p w14:paraId="4008C08B">
            <w:pPr>
              <w:rPr>
                <w:rFonts w:ascii="宋体" w:hAnsi="宋体" w:cs="宋体"/>
                <w:szCs w:val="21"/>
              </w:rPr>
            </w:pPr>
            <w:r>
              <w:rPr>
                <w:rFonts w:hint="eastAsia" w:ascii="宋体" w:hAnsi="宋体" w:cs="宋体"/>
                <w:szCs w:val="21"/>
              </w:rPr>
              <w:t xml:space="preserve">名 称：南京财经大学红山学院  </w:t>
            </w:r>
          </w:p>
          <w:p w14:paraId="28BC6BCF">
            <w:pPr>
              <w:rPr>
                <w:rFonts w:ascii="宋体" w:hAnsi="宋体" w:cs="宋体"/>
                <w:szCs w:val="21"/>
              </w:rPr>
            </w:pPr>
            <w:r>
              <w:rPr>
                <w:rFonts w:hint="eastAsia" w:ascii="宋体" w:hAnsi="宋体" w:cs="宋体"/>
                <w:szCs w:val="21"/>
              </w:rPr>
              <w:t>地 址：江苏省南京市高淳区鹿鸣大道66号</w:t>
            </w:r>
          </w:p>
          <w:p w14:paraId="77382AAE">
            <w:pPr>
              <w:rPr>
                <w:rFonts w:ascii="宋体" w:hAnsi="宋体" w:cs="宋体"/>
                <w:szCs w:val="21"/>
              </w:rPr>
            </w:pPr>
            <w:r>
              <w:rPr>
                <w:rFonts w:hint="eastAsia" w:ascii="宋体" w:hAnsi="宋体" w:cs="宋体"/>
                <w:szCs w:val="21"/>
              </w:rPr>
              <w:t>技术咨询：杨老师 17768141774；</w:t>
            </w:r>
          </w:p>
          <w:p w14:paraId="598043F8">
            <w:pPr>
              <w:rPr>
                <w:rFonts w:ascii="宋体" w:hAnsi="宋体" w:cs="宋体"/>
                <w:szCs w:val="21"/>
              </w:rPr>
            </w:pPr>
            <w:r>
              <w:rPr>
                <w:rFonts w:hint="eastAsia" w:ascii="宋体" w:hAnsi="宋体" w:cs="宋体"/>
                <w:szCs w:val="21"/>
              </w:rPr>
              <w:t>商务咨询：孔老师 18551677824；</w:t>
            </w:r>
          </w:p>
        </w:tc>
      </w:tr>
      <w:tr w14:paraId="2713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1547" w:type="dxa"/>
            <w:tcBorders>
              <w:top w:val="single" w:color="auto" w:sz="4" w:space="0"/>
              <w:left w:val="single" w:color="auto" w:sz="4" w:space="0"/>
              <w:bottom w:val="single" w:color="auto" w:sz="4" w:space="0"/>
              <w:right w:val="single" w:color="auto" w:sz="4" w:space="0"/>
            </w:tcBorders>
            <w:vAlign w:val="center"/>
          </w:tcPr>
          <w:p w14:paraId="135E9933">
            <w:pPr>
              <w:rPr>
                <w:b/>
              </w:rPr>
            </w:pPr>
            <w:r>
              <w:rPr>
                <w:rFonts w:hint="eastAsia"/>
                <w:b/>
              </w:rPr>
              <w:t>投标有效期</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5966D021">
            <w:r>
              <w:rPr>
                <w:rFonts w:hint="eastAsia"/>
              </w:rPr>
              <w:t>投标截止日后90天内有效</w:t>
            </w:r>
          </w:p>
        </w:tc>
      </w:tr>
      <w:tr w14:paraId="591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547" w:type="dxa"/>
            <w:tcBorders>
              <w:top w:val="single" w:color="auto" w:sz="4" w:space="0"/>
              <w:left w:val="single" w:color="auto" w:sz="4" w:space="0"/>
              <w:bottom w:val="single" w:color="auto" w:sz="4" w:space="0"/>
              <w:right w:val="single" w:color="auto" w:sz="4" w:space="0"/>
            </w:tcBorders>
            <w:vAlign w:val="center"/>
          </w:tcPr>
          <w:p w14:paraId="1D1BBA44">
            <w:pPr>
              <w:rPr>
                <w:b/>
              </w:rPr>
            </w:pPr>
            <w:r>
              <w:rPr>
                <w:rFonts w:hint="eastAsia"/>
                <w:b/>
              </w:rPr>
              <w:t>评标办法</w:t>
            </w:r>
          </w:p>
        </w:tc>
        <w:tc>
          <w:tcPr>
            <w:tcW w:w="6992" w:type="dxa"/>
            <w:gridSpan w:val="5"/>
            <w:tcBorders>
              <w:top w:val="single" w:color="auto" w:sz="4" w:space="0"/>
              <w:left w:val="single" w:color="auto" w:sz="4" w:space="0"/>
              <w:bottom w:val="single" w:color="auto" w:sz="4" w:space="0"/>
              <w:right w:val="single" w:color="auto" w:sz="4" w:space="0"/>
            </w:tcBorders>
            <w:vAlign w:val="center"/>
          </w:tcPr>
          <w:p w14:paraId="26ED828F">
            <w:r>
              <w:rPr>
                <w:rFonts w:hint="eastAsia"/>
              </w:rPr>
              <w:t>综合评审法</w:t>
            </w:r>
          </w:p>
        </w:tc>
      </w:tr>
    </w:tbl>
    <w:p w14:paraId="4571ECC6">
      <w:pPr>
        <w:tabs>
          <w:tab w:val="left" w:pos="406"/>
        </w:tabs>
        <w:adjustRightInd w:val="0"/>
        <w:snapToGrid w:val="0"/>
        <w:spacing w:line="300" w:lineRule="auto"/>
        <w:jc w:val="center"/>
        <w:rPr>
          <w:rFonts w:ascii="宋体" w:hAnsi="宋体" w:cs="宋体"/>
          <w:b/>
          <w:bCs/>
          <w:sz w:val="44"/>
          <w:szCs w:val="44"/>
        </w:rPr>
      </w:pPr>
      <w:r>
        <w:rPr>
          <w:rFonts w:hint="eastAsia"/>
          <w:b/>
          <w:bCs/>
          <w:sz w:val="32"/>
          <w:szCs w:val="32"/>
        </w:rPr>
        <w:t>南京财经大学红山学院计算机课程考试系统软件采购项目招标文件</w:t>
      </w:r>
    </w:p>
    <w:p w14:paraId="688BBFB9">
      <w:pPr>
        <w:adjustRightInd w:val="0"/>
        <w:snapToGrid w:val="0"/>
        <w:spacing w:line="300" w:lineRule="auto"/>
        <w:jc w:val="center"/>
        <w:rPr>
          <w:sz w:val="32"/>
          <w:szCs w:val="32"/>
        </w:rPr>
      </w:pPr>
    </w:p>
    <w:p w14:paraId="2A7F6564">
      <w:pPr>
        <w:adjustRightInd w:val="0"/>
        <w:snapToGrid w:val="0"/>
        <w:spacing w:line="300" w:lineRule="auto"/>
        <w:ind w:firstLine="420" w:firstLineChars="200"/>
        <w:rPr>
          <w:rFonts w:ascii="宋体" w:hAnsi="宋体" w:cs="宋体"/>
          <w:szCs w:val="21"/>
        </w:rPr>
      </w:pPr>
      <w:r>
        <w:rPr>
          <w:rFonts w:hint="eastAsia" w:ascii="宋体" w:hAnsi="宋体" w:cs="宋体"/>
        </w:rPr>
        <w:t>南京财经大学红山学院计算机课程考试系统软件采购项目</w:t>
      </w:r>
      <w:r>
        <w:rPr>
          <w:rFonts w:hint="eastAsia" w:ascii="宋体" w:hAnsi="宋体" w:cs="宋体"/>
          <w:szCs w:val="21"/>
        </w:rPr>
        <w:t>（NCHS20251022-ZB-HW20）实行公开招标采购，诚邀符合资质要求的供应商参与投标。本次招标由南京财经大学红山学院采购与招投标工作小组统一组织，按照招投标有关规定开展工作，请各投标人认真阅读本招标文件，配合我校做好本项目的招投标工作。招投标相关要求和事项说明如下：</w:t>
      </w:r>
    </w:p>
    <w:p w14:paraId="1893AC05">
      <w:pPr>
        <w:adjustRightInd w:val="0"/>
        <w:snapToGrid w:val="0"/>
        <w:spacing w:line="300" w:lineRule="auto"/>
        <w:ind w:firstLine="482" w:firstLineChars="200"/>
        <w:rPr>
          <w:rFonts w:ascii="宋体" w:hAnsi="宋体" w:cs="宋体"/>
          <w:b/>
          <w:sz w:val="24"/>
        </w:rPr>
      </w:pPr>
      <w:r>
        <w:rPr>
          <w:rFonts w:hint="eastAsia" w:ascii="宋体" w:hAnsi="宋体" w:cs="宋体"/>
          <w:b/>
          <w:sz w:val="24"/>
        </w:rPr>
        <w:t>一、总则</w:t>
      </w:r>
    </w:p>
    <w:p w14:paraId="5506DF0F">
      <w:pPr>
        <w:adjustRightInd w:val="0"/>
        <w:snapToGrid w:val="0"/>
        <w:spacing w:line="300" w:lineRule="auto"/>
        <w:ind w:firstLine="420" w:firstLineChars="200"/>
        <w:rPr>
          <w:rFonts w:ascii="宋体" w:hAnsi="宋体" w:cs="宋体"/>
          <w:szCs w:val="21"/>
        </w:rPr>
      </w:pPr>
      <w:r>
        <w:rPr>
          <w:rFonts w:hint="eastAsia" w:ascii="宋体" w:hAnsi="宋体" w:cs="宋体"/>
          <w:szCs w:val="21"/>
        </w:rPr>
        <w:t>1.采购方式：公开招标</w:t>
      </w:r>
    </w:p>
    <w:p w14:paraId="60DCCBDE">
      <w:pPr>
        <w:adjustRightInd w:val="0"/>
        <w:snapToGrid w:val="0"/>
        <w:spacing w:line="300" w:lineRule="auto"/>
        <w:ind w:firstLine="420" w:firstLineChars="200"/>
        <w:rPr>
          <w:rFonts w:ascii="宋体" w:hAnsi="宋体" w:cs="宋体"/>
          <w:szCs w:val="21"/>
        </w:rPr>
      </w:pPr>
      <w:bookmarkStart w:id="2" w:name="_Toc20823278"/>
      <w:bookmarkStart w:id="3" w:name="_Toc513029206"/>
      <w:bookmarkStart w:id="4" w:name="_Toc16938522"/>
      <w:bookmarkStart w:id="5" w:name="_Toc7145"/>
      <w:bookmarkStart w:id="6" w:name="_Toc10338"/>
      <w:r>
        <w:rPr>
          <w:rFonts w:hint="eastAsia" w:ascii="宋体" w:hAnsi="宋体" w:cs="宋体"/>
          <w:szCs w:val="21"/>
        </w:rPr>
        <w:t>2.适用法律</w:t>
      </w:r>
      <w:bookmarkEnd w:id="2"/>
      <w:bookmarkEnd w:id="3"/>
      <w:bookmarkEnd w:id="4"/>
      <w:bookmarkEnd w:id="5"/>
      <w:bookmarkEnd w:id="6"/>
      <w:r>
        <w:rPr>
          <w:rFonts w:hint="eastAsia" w:ascii="宋体" w:hAnsi="宋体" w:cs="宋体"/>
          <w:szCs w:val="21"/>
        </w:rPr>
        <w:t>：本项目为非政府采购，参照《中华人民共和国招标投标法》《中华人民共和国政府采购法》及国家、地方有关法律、规章和规定。</w:t>
      </w:r>
    </w:p>
    <w:p w14:paraId="2B968AC3">
      <w:pPr>
        <w:adjustRightInd w:val="0"/>
        <w:snapToGrid w:val="0"/>
        <w:spacing w:line="300" w:lineRule="auto"/>
        <w:ind w:firstLine="420" w:firstLineChars="200"/>
        <w:rPr>
          <w:rFonts w:ascii="宋体" w:hAnsi="宋体" w:cs="宋体"/>
          <w:szCs w:val="21"/>
        </w:rPr>
      </w:pPr>
      <w:r>
        <w:rPr>
          <w:rFonts w:hint="eastAsia" w:ascii="宋体" w:hAnsi="宋体" w:cs="宋体"/>
          <w:szCs w:val="21"/>
        </w:rPr>
        <w:t>3.投标费用：无论中标与否，投标人自行承担投标费用。</w:t>
      </w:r>
    </w:p>
    <w:p w14:paraId="0CA48B80">
      <w:pPr>
        <w:adjustRightInd w:val="0"/>
        <w:snapToGrid w:val="0"/>
        <w:spacing w:line="300" w:lineRule="auto"/>
        <w:ind w:firstLine="420" w:firstLineChars="200"/>
        <w:rPr>
          <w:rFonts w:ascii="宋体" w:hAnsi="宋体" w:cs="宋体"/>
          <w:szCs w:val="21"/>
        </w:rPr>
      </w:pPr>
      <w:r>
        <w:rPr>
          <w:rFonts w:hint="eastAsia" w:ascii="宋体" w:hAnsi="宋体" w:cs="宋体"/>
          <w:szCs w:val="21"/>
        </w:rPr>
        <w:t>4.招标文件的约束力：投标人一旦参加投标即认为接受了招标文件的条件和规定。</w:t>
      </w:r>
    </w:p>
    <w:p w14:paraId="401F3355">
      <w:pPr>
        <w:adjustRightInd w:val="0"/>
        <w:snapToGrid w:val="0"/>
        <w:spacing w:line="300" w:lineRule="auto"/>
        <w:ind w:firstLine="482" w:firstLineChars="200"/>
        <w:rPr>
          <w:rFonts w:ascii="宋体" w:hAnsi="宋体" w:cs="宋体"/>
          <w:b/>
          <w:sz w:val="24"/>
        </w:rPr>
      </w:pPr>
      <w:r>
        <w:rPr>
          <w:rFonts w:hint="eastAsia" w:ascii="宋体" w:hAnsi="宋体" w:cs="宋体"/>
          <w:b/>
          <w:sz w:val="24"/>
        </w:rPr>
        <w:t>二、项目描述</w:t>
      </w:r>
    </w:p>
    <w:p w14:paraId="75ED112E">
      <w:pPr>
        <w:adjustRightInd w:val="0"/>
        <w:snapToGrid w:val="0"/>
        <w:spacing w:line="300" w:lineRule="auto"/>
        <w:ind w:firstLine="420" w:firstLineChars="200"/>
        <w:rPr>
          <w:rFonts w:ascii="宋体" w:hAnsi="宋体" w:cs="宋体"/>
          <w:szCs w:val="21"/>
        </w:rPr>
      </w:pPr>
      <w:r>
        <w:rPr>
          <w:rFonts w:hint="eastAsia" w:ascii="宋体" w:hAnsi="宋体" w:cs="宋体"/>
          <w:szCs w:val="21"/>
        </w:rPr>
        <w:t>1.项目名称：</w:t>
      </w:r>
      <w:r>
        <w:rPr>
          <w:rFonts w:hint="eastAsia" w:ascii="宋体" w:hAnsi="宋体" w:cs="宋体"/>
        </w:rPr>
        <w:t>南京财经大学红山学院计算机课程考试系统软件采购项目</w:t>
      </w:r>
    </w:p>
    <w:p w14:paraId="36E560DE">
      <w:pPr>
        <w:adjustRightInd w:val="0"/>
        <w:snapToGrid w:val="0"/>
        <w:spacing w:line="300" w:lineRule="auto"/>
        <w:ind w:firstLine="420" w:firstLineChars="200"/>
        <w:rPr>
          <w:rFonts w:ascii="宋体" w:hAnsi="宋体" w:cs="宋体"/>
          <w:szCs w:val="21"/>
        </w:rPr>
      </w:pPr>
      <w:r>
        <w:rPr>
          <w:rFonts w:hint="eastAsia" w:ascii="宋体" w:hAnsi="宋体" w:cs="宋体"/>
          <w:szCs w:val="21"/>
        </w:rPr>
        <w:t>2.项目地址：南京财经大学红山学院高淳校区</w:t>
      </w:r>
    </w:p>
    <w:p w14:paraId="4A58B0F8">
      <w:pPr>
        <w:adjustRightInd w:val="0"/>
        <w:snapToGrid w:val="0"/>
        <w:spacing w:line="300" w:lineRule="auto"/>
        <w:ind w:firstLine="420" w:firstLineChars="200"/>
        <w:rPr>
          <w:rFonts w:ascii="宋体" w:hAnsi="宋体" w:cs="宋体"/>
          <w:szCs w:val="21"/>
        </w:rPr>
      </w:pPr>
      <w:r>
        <w:rPr>
          <w:rFonts w:hint="eastAsia" w:ascii="宋体" w:hAnsi="宋体" w:cs="宋体"/>
          <w:szCs w:val="21"/>
        </w:rPr>
        <w:t>3.采购预算: 人民币18万元整（一次性买断），报价不得超过预算金额，否则将视为无效报价。</w:t>
      </w:r>
    </w:p>
    <w:p w14:paraId="4601D6C3">
      <w:pPr>
        <w:adjustRightInd w:val="0"/>
        <w:snapToGrid w:val="0"/>
        <w:spacing w:line="300" w:lineRule="auto"/>
        <w:ind w:firstLine="420" w:firstLineChars="200"/>
        <w:rPr>
          <w:rFonts w:ascii="宋体" w:hAnsi="宋体" w:cs="宋体"/>
        </w:rPr>
      </w:pPr>
      <w:r>
        <w:rPr>
          <w:rFonts w:hint="eastAsia" w:ascii="宋体" w:hAnsi="宋体" w:cs="宋体"/>
          <w:szCs w:val="21"/>
        </w:rPr>
        <w:t>4.项目</w:t>
      </w:r>
      <w:r>
        <w:rPr>
          <w:rFonts w:hint="eastAsia" w:ascii="宋体" w:hAnsi="宋体" w:cs="宋体"/>
        </w:rPr>
        <w:t>需求清单：</w:t>
      </w:r>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4"/>
        <w:gridCol w:w="5309"/>
        <w:gridCol w:w="2226"/>
      </w:tblGrid>
      <w:tr w14:paraId="73F3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78" w:type="pct"/>
            <w:vAlign w:val="center"/>
          </w:tcPr>
          <w:p w14:paraId="33CE6C4C">
            <w:pPr>
              <w:spacing w:line="300" w:lineRule="auto"/>
              <w:ind w:firstLine="211" w:firstLineChars="100"/>
              <w:rPr>
                <w:rFonts w:ascii="宋体" w:hAnsi="宋体" w:cs="宋体"/>
                <w:b/>
              </w:rPr>
            </w:pPr>
            <w:r>
              <w:rPr>
                <w:rFonts w:hint="eastAsia" w:ascii="宋体" w:hAnsi="宋体" w:cs="宋体"/>
                <w:b/>
              </w:rPr>
              <w:t>序号</w:t>
            </w:r>
          </w:p>
        </w:tc>
        <w:tc>
          <w:tcPr>
            <w:tcW w:w="3115" w:type="pct"/>
            <w:vAlign w:val="center"/>
          </w:tcPr>
          <w:p w14:paraId="75838450">
            <w:pPr>
              <w:spacing w:line="300" w:lineRule="auto"/>
              <w:ind w:firstLine="422" w:firstLineChars="200"/>
              <w:jc w:val="center"/>
              <w:rPr>
                <w:rFonts w:ascii="宋体" w:hAnsi="宋体" w:cs="宋体"/>
                <w:b/>
              </w:rPr>
            </w:pPr>
            <w:r>
              <w:rPr>
                <w:rFonts w:hint="eastAsia" w:ascii="宋体" w:hAnsi="宋体" w:cs="宋体"/>
                <w:b/>
              </w:rPr>
              <w:t>采购项目</w:t>
            </w:r>
          </w:p>
        </w:tc>
        <w:tc>
          <w:tcPr>
            <w:tcW w:w="1306" w:type="pct"/>
            <w:vAlign w:val="center"/>
          </w:tcPr>
          <w:p w14:paraId="73161C18">
            <w:pPr>
              <w:spacing w:line="300" w:lineRule="auto"/>
              <w:ind w:firstLine="422" w:firstLineChars="200"/>
              <w:jc w:val="center"/>
              <w:rPr>
                <w:rFonts w:ascii="宋体" w:hAnsi="宋体" w:cs="宋体"/>
                <w:b/>
              </w:rPr>
            </w:pPr>
            <w:r>
              <w:rPr>
                <w:rFonts w:hint="eastAsia" w:ascii="宋体" w:hAnsi="宋体" w:cs="宋体"/>
                <w:b/>
              </w:rPr>
              <w:t>数量</w:t>
            </w:r>
          </w:p>
        </w:tc>
      </w:tr>
      <w:tr w14:paraId="7CF1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578" w:type="pct"/>
            <w:tcBorders>
              <w:bottom w:val="single" w:color="000000" w:sz="4" w:space="0"/>
            </w:tcBorders>
            <w:vAlign w:val="center"/>
          </w:tcPr>
          <w:p w14:paraId="75FD89A0">
            <w:pPr>
              <w:spacing w:line="300" w:lineRule="auto"/>
              <w:ind w:firstLine="420" w:firstLineChars="200"/>
              <w:rPr>
                <w:rFonts w:ascii="宋体" w:hAnsi="宋体" w:cs="宋体"/>
              </w:rPr>
            </w:pPr>
            <w:r>
              <w:rPr>
                <w:rFonts w:hint="eastAsia" w:ascii="宋体" w:hAnsi="宋体" w:cs="宋体"/>
              </w:rPr>
              <w:t>1</w:t>
            </w:r>
          </w:p>
        </w:tc>
        <w:tc>
          <w:tcPr>
            <w:tcW w:w="3115" w:type="pct"/>
            <w:tcBorders>
              <w:bottom w:val="single" w:color="000000" w:sz="4" w:space="0"/>
            </w:tcBorders>
            <w:vAlign w:val="center"/>
          </w:tcPr>
          <w:p w14:paraId="3C093EC7">
            <w:pPr>
              <w:spacing w:line="300" w:lineRule="auto"/>
              <w:ind w:firstLine="420" w:firstLineChars="200"/>
              <w:jc w:val="center"/>
              <w:rPr>
                <w:rFonts w:ascii="宋体" w:hAnsi="宋体" w:cs="宋体"/>
              </w:rPr>
            </w:pPr>
            <w:r>
              <w:rPr>
                <w:rFonts w:hint="eastAsia" w:ascii="宋体" w:hAnsi="宋体" w:cs="宋体"/>
              </w:rPr>
              <w:t>计算机课程考试系统平台</w:t>
            </w:r>
          </w:p>
        </w:tc>
        <w:tc>
          <w:tcPr>
            <w:tcW w:w="1306" w:type="pct"/>
            <w:tcBorders>
              <w:bottom w:val="single" w:color="000000" w:sz="4" w:space="0"/>
            </w:tcBorders>
            <w:vAlign w:val="center"/>
          </w:tcPr>
          <w:p w14:paraId="6DA4C45F">
            <w:pPr>
              <w:autoSpaceDN w:val="0"/>
              <w:spacing w:line="300" w:lineRule="auto"/>
              <w:ind w:firstLine="420" w:firstLineChars="200"/>
              <w:jc w:val="center"/>
              <w:textAlignment w:val="center"/>
              <w:rPr>
                <w:rFonts w:ascii="宋体" w:hAnsi="宋体" w:cs="宋体"/>
                <w:color w:val="000000"/>
              </w:rPr>
            </w:pPr>
            <w:r>
              <w:rPr>
                <w:rFonts w:hint="eastAsia" w:ascii="宋体" w:hAnsi="宋体" w:cs="宋体"/>
                <w:color w:val="000000"/>
              </w:rPr>
              <w:t>1套</w:t>
            </w:r>
          </w:p>
        </w:tc>
      </w:tr>
      <w:tr w14:paraId="1180C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78" w:type="pct"/>
            <w:tcBorders>
              <w:bottom w:val="single" w:color="000000" w:sz="4" w:space="0"/>
            </w:tcBorders>
            <w:vAlign w:val="center"/>
          </w:tcPr>
          <w:p w14:paraId="420C0156">
            <w:pPr>
              <w:spacing w:line="300" w:lineRule="auto"/>
              <w:ind w:firstLine="420" w:firstLineChars="200"/>
              <w:rPr>
                <w:rFonts w:ascii="宋体" w:hAnsi="宋体" w:cs="宋体"/>
              </w:rPr>
            </w:pPr>
            <w:r>
              <w:rPr>
                <w:rFonts w:hint="eastAsia" w:ascii="宋体" w:hAnsi="宋体" w:cs="宋体"/>
              </w:rPr>
              <w:t>2</w:t>
            </w:r>
          </w:p>
        </w:tc>
        <w:tc>
          <w:tcPr>
            <w:tcW w:w="3115" w:type="pct"/>
            <w:tcBorders>
              <w:bottom w:val="single" w:color="000000" w:sz="4" w:space="0"/>
            </w:tcBorders>
            <w:vAlign w:val="center"/>
          </w:tcPr>
          <w:p w14:paraId="6C84077F">
            <w:pPr>
              <w:spacing w:line="300" w:lineRule="auto"/>
              <w:ind w:firstLine="420" w:firstLineChars="200"/>
              <w:jc w:val="center"/>
              <w:rPr>
                <w:rFonts w:ascii="宋体" w:hAnsi="宋体" w:cs="宋体"/>
              </w:rPr>
            </w:pPr>
            <w:r>
              <w:rPr>
                <w:rFonts w:hint="eastAsia" w:ascii="宋体" w:hAnsi="宋体" w:cs="宋体"/>
              </w:rPr>
              <w:t>MS Office2016高级应用课程考试、作业、题库模块</w:t>
            </w:r>
          </w:p>
        </w:tc>
        <w:tc>
          <w:tcPr>
            <w:tcW w:w="1306" w:type="pct"/>
            <w:tcBorders>
              <w:bottom w:val="single" w:color="000000" w:sz="4" w:space="0"/>
            </w:tcBorders>
            <w:vAlign w:val="center"/>
          </w:tcPr>
          <w:p w14:paraId="733B5328">
            <w:pPr>
              <w:autoSpaceDN w:val="0"/>
              <w:adjustRightInd w:val="0"/>
              <w:snapToGrid w:val="0"/>
              <w:spacing w:line="300" w:lineRule="auto"/>
              <w:textAlignment w:val="center"/>
              <w:rPr>
                <w:rFonts w:ascii="宋体" w:hAnsi="宋体" w:cs="宋体"/>
                <w:color w:val="000000"/>
              </w:rPr>
            </w:pPr>
            <w:r>
              <w:rPr>
                <w:rFonts w:hint="eastAsia" w:ascii="宋体" w:hAnsi="宋体" w:cs="宋体"/>
                <w:color w:val="000000"/>
              </w:rPr>
              <w:t>1科（600点及以上）</w:t>
            </w:r>
          </w:p>
        </w:tc>
      </w:tr>
      <w:tr w14:paraId="202E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578" w:type="pct"/>
            <w:vAlign w:val="center"/>
          </w:tcPr>
          <w:p w14:paraId="234FADDF">
            <w:pPr>
              <w:spacing w:line="300" w:lineRule="auto"/>
              <w:ind w:firstLine="420" w:firstLineChars="200"/>
              <w:rPr>
                <w:rFonts w:ascii="宋体" w:hAnsi="宋体" w:cs="宋体"/>
              </w:rPr>
            </w:pPr>
            <w:r>
              <w:rPr>
                <w:rFonts w:hint="eastAsia" w:ascii="宋体" w:hAnsi="宋体" w:cs="宋体"/>
              </w:rPr>
              <w:t>3</w:t>
            </w:r>
          </w:p>
        </w:tc>
        <w:tc>
          <w:tcPr>
            <w:tcW w:w="3115" w:type="pct"/>
            <w:vAlign w:val="center"/>
          </w:tcPr>
          <w:p w14:paraId="407F367A">
            <w:pPr>
              <w:spacing w:line="300" w:lineRule="auto"/>
              <w:ind w:firstLine="420" w:firstLineChars="200"/>
              <w:jc w:val="center"/>
              <w:rPr>
                <w:rFonts w:ascii="宋体" w:hAnsi="宋体" w:cs="宋体"/>
              </w:rPr>
            </w:pPr>
            <w:r>
              <w:rPr>
                <w:rFonts w:hint="eastAsia" w:ascii="宋体" w:hAnsi="宋体" w:cs="宋体"/>
              </w:rPr>
              <w:t>Python课程考试、作业、题库模块</w:t>
            </w:r>
          </w:p>
        </w:tc>
        <w:tc>
          <w:tcPr>
            <w:tcW w:w="1306" w:type="pct"/>
            <w:vAlign w:val="center"/>
          </w:tcPr>
          <w:p w14:paraId="59AFA93C">
            <w:pPr>
              <w:autoSpaceDN w:val="0"/>
              <w:adjustRightInd w:val="0"/>
              <w:snapToGrid w:val="0"/>
              <w:spacing w:line="300" w:lineRule="auto"/>
              <w:textAlignment w:val="center"/>
              <w:rPr>
                <w:rFonts w:ascii="宋体" w:hAnsi="宋体" w:cs="宋体"/>
                <w:color w:val="000000"/>
              </w:rPr>
            </w:pPr>
            <w:r>
              <w:rPr>
                <w:rFonts w:hint="eastAsia" w:ascii="宋体" w:hAnsi="宋体" w:cs="宋体"/>
                <w:color w:val="000000"/>
              </w:rPr>
              <w:t>1科（600点及以上）</w:t>
            </w:r>
          </w:p>
        </w:tc>
      </w:tr>
    </w:tbl>
    <w:p w14:paraId="440DA374">
      <w:pPr>
        <w:adjustRightInd w:val="0"/>
        <w:snapToGrid w:val="0"/>
        <w:spacing w:line="300" w:lineRule="auto"/>
        <w:ind w:firstLine="420" w:firstLineChars="200"/>
        <w:rPr>
          <w:rFonts w:ascii="宋体" w:hAnsi="宋体" w:cs="宋体"/>
        </w:rPr>
      </w:pPr>
    </w:p>
    <w:p w14:paraId="5590BB4B">
      <w:pPr>
        <w:adjustRightInd w:val="0"/>
        <w:snapToGrid w:val="0"/>
        <w:spacing w:line="300" w:lineRule="auto"/>
        <w:ind w:firstLine="482" w:firstLineChars="200"/>
        <w:rPr>
          <w:rFonts w:ascii="宋体" w:hAnsi="宋体" w:cs="宋体"/>
          <w:b/>
          <w:sz w:val="24"/>
        </w:rPr>
      </w:pPr>
      <w:r>
        <w:rPr>
          <w:rFonts w:hint="eastAsia" w:ascii="宋体" w:hAnsi="宋体" w:cs="宋体"/>
          <w:b/>
          <w:sz w:val="24"/>
        </w:rPr>
        <w:t>三、投标人资质要求</w:t>
      </w:r>
    </w:p>
    <w:p w14:paraId="0DE16031">
      <w:pPr>
        <w:adjustRightInd w:val="0"/>
        <w:snapToGrid w:val="0"/>
        <w:spacing w:line="300" w:lineRule="auto"/>
        <w:ind w:firstLine="420" w:firstLineChars="200"/>
        <w:rPr>
          <w:rFonts w:ascii="宋体" w:hAnsi="宋体" w:cs="宋体"/>
        </w:rPr>
      </w:pPr>
      <w:r>
        <w:rPr>
          <w:rFonts w:hint="eastAsia" w:ascii="宋体" w:hAnsi="宋体" w:cs="宋体"/>
        </w:rPr>
        <w:t>1.投标人必须是在市场监督管理部门和税务部门登记注册的企业，具有独立法人资格，持有效营业执照、税务登记证、组织机构代码证（或三证合一）及所经营项目相关的国家、行业规范要求的相关证照。</w:t>
      </w:r>
    </w:p>
    <w:p w14:paraId="178E21B1">
      <w:pPr>
        <w:adjustRightInd w:val="0"/>
        <w:snapToGrid w:val="0"/>
        <w:spacing w:line="300" w:lineRule="auto"/>
        <w:ind w:firstLine="420" w:firstLineChars="200"/>
        <w:rPr>
          <w:rFonts w:ascii="宋体" w:hAnsi="宋体" w:cs="宋体"/>
        </w:rPr>
      </w:pPr>
      <w:r>
        <w:rPr>
          <w:rFonts w:hint="eastAsia" w:ascii="宋体" w:hAnsi="宋体" w:cs="宋体"/>
        </w:rPr>
        <w:t>2.具有良好的商业信誉和健全的财务会计制度，提供距招标时间一年内任意月份的财务状况报告（至少包括资产负债表和利润表），或其银行出具的资信证书（复印件）（招标前六个月内），或其2023或2024年度经审计的财务报告复印件加盖公章。</w:t>
      </w:r>
    </w:p>
    <w:p w14:paraId="62931619">
      <w:pPr>
        <w:adjustRightInd w:val="0"/>
        <w:snapToGrid w:val="0"/>
        <w:spacing w:line="300" w:lineRule="auto"/>
        <w:ind w:firstLine="420" w:firstLineChars="200"/>
        <w:rPr>
          <w:rFonts w:ascii="宋体" w:hAnsi="宋体" w:cs="宋体"/>
        </w:rPr>
      </w:pPr>
      <w:r>
        <w:rPr>
          <w:rFonts w:hint="eastAsia" w:ascii="宋体" w:hAnsi="宋体" w:cs="宋体"/>
        </w:rPr>
        <w:t>3.有依法缴纳税收和社会保障资金的良好记录（提供参加本次采购活动前半年内至少一个月依法缴纳税收和社会保障资金的有效凭据复印件加盖公章，依法免税或不需要缴纳社会保障资金的供应商，应提供相应证明文件）。</w:t>
      </w:r>
    </w:p>
    <w:p w14:paraId="785D7E5D">
      <w:pPr>
        <w:adjustRightInd w:val="0"/>
        <w:snapToGrid w:val="0"/>
        <w:spacing w:line="300" w:lineRule="auto"/>
        <w:ind w:firstLine="420" w:firstLineChars="200"/>
        <w:rPr>
          <w:rFonts w:ascii="宋体" w:hAnsi="宋体" w:cs="宋体"/>
        </w:rPr>
      </w:pPr>
      <w:r>
        <w:rPr>
          <w:rFonts w:hint="eastAsia" w:ascii="宋体" w:hAnsi="宋体" w:cs="宋体"/>
        </w:rPr>
        <w:t>4.提供近三年内(2022年10月1日至投标文件递交截止日前）同类型产品业绩（不得缺失最终用户签订的合同首页、合同金额所在页、合同签字盖章页）。</w:t>
      </w:r>
    </w:p>
    <w:p w14:paraId="512E29DE">
      <w:pPr>
        <w:adjustRightInd w:val="0"/>
        <w:snapToGrid w:val="0"/>
        <w:spacing w:line="300" w:lineRule="auto"/>
        <w:ind w:firstLine="420" w:firstLineChars="200"/>
        <w:rPr>
          <w:rFonts w:ascii="宋体" w:hAnsi="宋体" w:cs="宋体"/>
          <w:highlight w:val="yellow"/>
        </w:rPr>
      </w:pPr>
      <w:r>
        <w:rPr>
          <w:rFonts w:hint="eastAsia" w:ascii="宋体" w:hAnsi="宋体" w:cs="宋体"/>
        </w:rPr>
        <w:t>5.具有履行合同专业技术能力的承诺函（根据项目需求提供履行合同所必需的专业设备清单及佐证材料，加盖公章，格式自拟）。</w:t>
      </w:r>
    </w:p>
    <w:p w14:paraId="25CB7DE8">
      <w:pPr>
        <w:adjustRightInd w:val="0"/>
        <w:snapToGrid w:val="0"/>
        <w:spacing w:line="300" w:lineRule="auto"/>
        <w:ind w:firstLine="420" w:firstLineChars="200"/>
        <w:rPr>
          <w:rFonts w:ascii="宋体" w:hAnsi="宋体" w:cs="宋体"/>
        </w:rPr>
      </w:pPr>
      <w:r>
        <w:rPr>
          <w:rFonts w:hint="eastAsia" w:ascii="宋体" w:hAnsi="宋体" w:cs="宋体"/>
        </w:rPr>
        <w:t>6.提供自2022年10月1日以来，在经营活动中没有重大违法记录和未受行业主管部门处罚的承诺书（格式自拟）以及在“信用中国”或“诚信江苏”或中国政府采购网等渠道查询在本公告发布之日后的信用记录的截图。（截图需体现日期）</w:t>
      </w:r>
    </w:p>
    <w:p w14:paraId="53C557DC">
      <w:pPr>
        <w:adjustRightInd w:val="0"/>
        <w:snapToGrid w:val="0"/>
        <w:spacing w:line="300" w:lineRule="auto"/>
        <w:ind w:firstLine="420" w:firstLineChars="200"/>
        <w:rPr>
          <w:rFonts w:ascii="宋体" w:hAnsi="宋体" w:cs="宋体"/>
        </w:rPr>
      </w:pPr>
      <w:r>
        <w:rPr>
          <w:rFonts w:hint="eastAsia" w:ascii="宋体" w:hAnsi="宋体" w:cs="宋体"/>
        </w:rPr>
        <w:t>7.法人代表授权书（原件）及法定代表人、授权代表身份证复印件（如果是法定代表人直接参与报价的可以不提供授权书）。</w:t>
      </w:r>
    </w:p>
    <w:p w14:paraId="68D3FE0D">
      <w:pPr>
        <w:adjustRightInd w:val="0"/>
        <w:snapToGrid w:val="0"/>
        <w:spacing w:line="300" w:lineRule="auto"/>
        <w:ind w:firstLine="420" w:firstLineChars="200"/>
        <w:rPr>
          <w:rFonts w:ascii="宋体" w:hAnsi="宋体" w:cs="宋体"/>
        </w:rPr>
      </w:pPr>
      <w:r>
        <w:rPr>
          <w:rFonts w:hint="eastAsia" w:ascii="宋体" w:hAnsi="宋体" w:cs="宋体"/>
        </w:rPr>
        <w:t>8.法律、行政法规规定的其他从事本项目资质条件。</w:t>
      </w:r>
    </w:p>
    <w:p w14:paraId="0A3947D0">
      <w:pPr>
        <w:adjustRightInd w:val="0"/>
        <w:snapToGrid w:val="0"/>
        <w:spacing w:line="300" w:lineRule="auto"/>
        <w:ind w:firstLine="420" w:firstLineChars="200"/>
        <w:rPr>
          <w:rFonts w:ascii="宋体" w:hAnsi="宋体" w:cs="宋体"/>
        </w:rPr>
      </w:pPr>
      <w:r>
        <w:rPr>
          <w:rFonts w:hint="eastAsia" w:ascii="宋体" w:hAnsi="宋体" w:cs="宋体"/>
        </w:rPr>
        <w:t>9.本次招标不接受联合体投标。</w:t>
      </w:r>
    </w:p>
    <w:p w14:paraId="5FC27371">
      <w:pPr>
        <w:pStyle w:val="2"/>
        <w:spacing w:after="0" w:line="300" w:lineRule="auto"/>
        <w:ind w:firstLine="420" w:firstLineChars="200"/>
        <w:rPr>
          <w:rFonts w:ascii="宋体" w:hAnsi="宋体" w:cs="宋体"/>
          <w:szCs w:val="24"/>
        </w:rPr>
      </w:pPr>
      <w:r>
        <w:rPr>
          <w:rFonts w:hint="eastAsia" w:ascii="宋体" w:hAnsi="宋体" w:cs="宋体"/>
          <w:szCs w:val="24"/>
        </w:rPr>
        <w:t>10.本项目不接受进口产品投标（注：本文件所称进口产品是指通过中国海关报关验放进入中国境内且产自关境外的产品）。</w:t>
      </w:r>
    </w:p>
    <w:p w14:paraId="7703E5FF">
      <w:pPr>
        <w:adjustRightInd w:val="0"/>
        <w:snapToGrid w:val="0"/>
        <w:spacing w:line="300" w:lineRule="auto"/>
        <w:ind w:firstLine="422" w:firstLineChars="200"/>
        <w:rPr>
          <w:rFonts w:ascii="宋体" w:hAnsi="宋体" w:cs="宋体"/>
          <w:b/>
          <w:bCs/>
        </w:rPr>
      </w:pPr>
      <w:r>
        <w:rPr>
          <w:rFonts w:hint="eastAsia" w:ascii="宋体" w:hAnsi="宋体" w:cs="宋体"/>
          <w:b/>
          <w:bCs/>
        </w:rPr>
        <w:t>注：上述所有证明文件均需加盖投标人公章。</w:t>
      </w:r>
    </w:p>
    <w:p w14:paraId="48D6240B">
      <w:pPr>
        <w:adjustRightInd w:val="0"/>
        <w:snapToGrid w:val="0"/>
        <w:spacing w:line="300" w:lineRule="auto"/>
        <w:ind w:firstLine="482" w:firstLineChars="200"/>
        <w:rPr>
          <w:rFonts w:ascii="宋体" w:hAnsi="宋体" w:cs="宋体"/>
          <w:bCs/>
          <w:sz w:val="24"/>
        </w:rPr>
      </w:pPr>
      <w:r>
        <w:rPr>
          <w:rFonts w:hint="eastAsia" w:ascii="宋体" w:hAnsi="宋体" w:cs="宋体"/>
          <w:b/>
          <w:sz w:val="24"/>
        </w:rPr>
        <w:t>四、投标人须知</w:t>
      </w:r>
    </w:p>
    <w:p w14:paraId="6F2D5360">
      <w:pPr>
        <w:adjustRightInd w:val="0"/>
        <w:snapToGrid w:val="0"/>
        <w:spacing w:line="300" w:lineRule="auto"/>
        <w:ind w:firstLine="420" w:firstLineChars="200"/>
        <w:rPr>
          <w:rFonts w:ascii="宋体" w:hAnsi="宋体" w:cs="宋体"/>
        </w:rPr>
      </w:pPr>
      <w:r>
        <w:rPr>
          <w:rFonts w:hint="eastAsia" w:ascii="宋体" w:hAnsi="宋体" w:cs="宋体"/>
        </w:rPr>
        <w:t>1</w:t>
      </w:r>
      <w:bookmarkStart w:id="7" w:name="OLE_LINK2"/>
      <w:r>
        <w:rPr>
          <w:rFonts w:hint="eastAsia" w:ascii="宋体" w:hAnsi="宋体" w:cs="宋体"/>
        </w:rPr>
        <w:t>.投标人</w:t>
      </w:r>
      <w:bookmarkEnd w:id="7"/>
      <w:r>
        <w:rPr>
          <w:rFonts w:hint="eastAsia" w:ascii="宋体" w:hAnsi="宋体" w:cs="宋体"/>
        </w:rPr>
        <w:t>必须合法经营，遵守国家各项法律法规，入校须遵守学校各项规章制度和规定。在校园内的一切活动须服从学校管理部门的统一管理。</w:t>
      </w:r>
    </w:p>
    <w:p w14:paraId="34FACE57">
      <w:pPr>
        <w:adjustRightInd w:val="0"/>
        <w:snapToGrid w:val="0"/>
        <w:spacing w:line="300" w:lineRule="auto"/>
        <w:ind w:firstLine="420" w:firstLineChars="200"/>
        <w:rPr>
          <w:rFonts w:ascii="宋体" w:hAnsi="宋体" w:cs="宋体"/>
          <w:szCs w:val="21"/>
        </w:rPr>
      </w:pPr>
      <w:r>
        <w:rPr>
          <w:rFonts w:hint="eastAsia" w:ascii="宋体" w:hAnsi="宋体" w:cs="宋体"/>
        </w:rPr>
        <w:t>2.投标人独立承担经营活动中所产生的债权、债务，独立承担工商、物价、税收、安</w:t>
      </w:r>
      <w:r>
        <w:rPr>
          <w:rFonts w:hint="eastAsia" w:ascii="宋体" w:hAnsi="宋体" w:cs="宋体"/>
          <w:szCs w:val="21"/>
        </w:rPr>
        <w:t>全等方面的法律责任。</w:t>
      </w:r>
    </w:p>
    <w:p w14:paraId="092A499D">
      <w:pPr>
        <w:adjustRightInd w:val="0"/>
        <w:snapToGrid w:val="0"/>
        <w:spacing w:line="300" w:lineRule="auto"/>
        <w:ind w:firstLine="420" w:firstLineChars="200"/>
        <w:rPr>
          <w:rFonts w:ascii="宋体" w:hAnsi="宋体" w:cs="宋体"/>
          <w:szCs w:val="21"/>
        </w:rPr>
      </w:pPr>
      <w:r>
        <w:rPr>
          <w:rFonts w:hint="eastAsia" w:ascii="宋体" w:hAnsi="宋体" w:cs="宋体"/>
          <w:szCs w:val="21"/>
        </w:rPr>
        <w:t>3.中标人由校评标小组确定。</w:t>
      </w:r>
    </w:p>
    <w:p w14:paraId="35A5055A">
      <w:pPr>
        <w:adjustRightInd w:val="0"/>
        <w:snapToGrid w:val="0"/>
        <w:spacing w:line="300" w:lineRule="auto"/>
        <w:ind w:firstLine="420" w:firstLineChars="200"/>
        <w:rPr>
          <w:rFonts w:ascii="宋体" w:hAnsi="宋体" w:cs="宋体"/>
          <w:szCs w:val="21"/>
        </w:rPr>
      </w:pPr>
      <w:r>
        <w:rPr>
          <w:rFonts w:hint="eastAsia" w:ascii="宋体" w:hAnsi="宋体" w:cs="宋体"/>
          <w:szCs w:val="21"/>
        </w:rPr>
        <w:t>4.投标人保证，一旦中标，所提供的产品质量符合国家标准，不挂靠、不转包、不分包，不提供假冒伪劣商品，否则招标人有权拒付货款并拒绝退货。</w:t>
      </w:r>
    </w:p>
    <w:p w14:paraId="18F82E6F">
      <w:pPr>
        <w:adjustRightInd w:val="0"/>
        <w:snapToGrid w:val="0"/>
        <w:spacing w:line="300" w:lineRule="auto"/>
        <w:ind w:firstLine="420" w:firstLineChars="200"/>
        <w:rPr>
          <w:rFonts w:ascii="宋体" w:hAnsi="宋体" w:cs="宋体"/>
          <w:szCs w:val="21"/>
        </w:rPr>
      </w:pPr>
      <w:r>
        <w:rPr>
          <w:rFonts w:hint="eastAsia" w:ascii="宋体" w:hAnsi="宋体" w:cs="宋体"/>
          <w:szCs w:val="21"/>
        </w:rPr>
        <w:t>5.投标人独立承担进入本校从业人员的安全职责，严格遵守本校各项管理规定，如发生意外，全部责任由投标人承担。</w:t>
      </w:r>
    </w:p>
    <w:p w14:paraId="4A032280">
      <w:pPr>
        <w:adjustRightInd w:val="0"/>
        <w:snapToGrid w:val="0"/>
        <w:spacing w:line="300" w:lineRule="auto"/>
        <w:ind w:firstLine="420" w:firstLineChars="200"/>
        <w:rPr>
          <w:rFonts w:ascii="宋体" w:hAnsi="宋体" w:cs="宋体"/>
          <w:szCs w:val="21"/>
        </w:rPr>
      </w:pPr>
      <w:r>
        <w:rPr>
          <w:rFonts w:hint="eastAsia" w:ascii="宋体" w:hAnsi="宋体" w:cs="宋体"/>
          <w:szCs w:val="21"/>
        </w:rPr>
        <w:t>6.有在本校不良经营记录的投标人，招标人有权取消其投标资格。</w:t>
      </w:r>
    </w:p>
    <w:p w14:paraId="77A23BE8">
      <w:pPr>
        <w:adjustRightInd w:val="0"/>
        <w:snapToGrid w:val="0"/>
        <w:spacing w:line="300" w:lineRule="auto"/>
        <w:ind w:firstLine="420" w:firstLineChars="200"/>
        <w:rPr>
          <w:rFonts w:ascii="宋体" w:hAnsi="宋体" w:cs="宋体"/>
          <w:szCs w:val="21"/>
        </w:rPr>
      </w:pPr>
      <w:r>
        <w:rPr>
          <w:rFonts w:hint="eastAsia" w:ascii="宋体" w:hAnsi="宋体" w:cs="宋体"/>
          <w:szCs w:val="21"/>
        </w:rPr>
        <w:t>7.拒绝下述供应商参加本次采购活动：</w:t>
      </w:r>
    </w:p>
    <w:p w14:paraId="39F5F2C0">
      <w:pPr>
        <w:adjustRightInd w:val="0"/>
        <w:snapToGrid w:val="0"/>
        <w:spacing w:line="300" w:lineRule="auto"/>
        <w:ind w:firstLine="420" w:firstLineChars="200"/>
        <w:rPr>
          <w:rFonts w:ascii="宋体" w:hAnsi="宋体" w:cs="宋体"/>
          <w:szCs w:val="21"/>
        </w:rPr>
      </w:pPr>
      <w:r>
        <w:rPr>
          <w:rFonts w:hint="eastAsia" w:ascii="宋体" w:hAnsi="宋体" w:cs="宋体"/>
          <w:szCs w:val="21"/>
        </w:rPr>
        <w:t>（1）投标人单位负责人为同一人或者存在直接控股、管理关系的不同供应商，不得参加同一合同项下的采购活动。</w:t>
      </w:r>
    </w:p>
    <w:p w14:paraId="5E99CA83">
      <w:pPr>
        <w:adjustRightInd w:val="0"/>
        <w:snapToGrid w:val="0"/>
        <w:spacing w:line="300" w:lineRule="auto"/>
        <w:ind w:firstLine="420" w:firstLineChars="200"/>
        <w:rPr>
          <w:rFonts w:ascii="宋体" w:hAnsi="宋体" w:cs="宋体"/>
          <w:szCs w:val="21"/>
        </w:rPr>
      </w:pPr>
      <w:r>
        <w:rPr>
          <w:rFonts w:hint="eastAsia" w:ascii="宋体" w:hAnsi="宋体" w:cs="宋体"/>
          <w:szCs w:val="21"/>
        </w:rPr>
        <w:t>（2）被</w:t>
      </w:r>
      <w:r>
        <w:rPr>
          <w:szCs w:val="21"/>
        </w:rPr>
        <w:t>列入失信被执行人、重大税收违法案件当事人名单、政府采购严重违法失信行为记录名单</w:t>
      </w:r>
      <w:r>
        <w:rPr>
          <w:rFonts w:hint="eastAsia"/>
          <w:szCs w:val="21"/>
        </w:rPr>
        <w:t>的</w:t>
      </w:r>
      <w:r>
        <w:rPr>
          <w:rFonts w:hint="eastAsia" w:ascii="宋体" w:hAnsi="宋体" w:cs="宋体"/>
          <w:szCs w:val="21"/>
        </w:rPr>
        <w:t>供应商。</w:t>
      </w:r>
    </w:p>
    <w:p w14:paraId="04DE57A4">
      <w:pPr>
        <w:adjustRightInd w:val="0"/>
        <w:snapToGrid w:val="0"/>
        <w:spacing w:line="300" w:lineRule="auto"/>
        <w:ind w:firstLine="420" w:firstLineChars="200"/>
        <w:rPr>
          <w:rFonts w:ascii="宋体" w:hAnsi="宋体" w:cs="宋体"/>
          <w:szCs w:val="21"/>
        </w:rPr>
      </w:pPr>
      <w:r>
        <w:rPr>
          <w:rFonts w:hint="eastAsia" w:ascii="宋体" w:hAnsi="宋体" w:cs="宋体"/>
          <w:szCs w:val="21"/>
        </w:rPr>
        <w:t>8.除不可抗力因素外，招标人有权对中标人的违约行为进行扣除部分或全部履约保证金的经济处罚，情节严重的，招标人有权单方面终止合同。</w:t>
      </w:r>
    </w:p>
    <w:p w14:paraId="5685FEA2">
      <w:pPr>
        <w:spacing w:line="300" w:lineRule="auto"/>
        <w:ind w:firstLine="482" w:firstLineChars="200"/>
        <w:rPr>
          <w:rFonts w:ascii="宋体" w:hAnsi="宋体" w:cs="宋体"/>
          <w:b/>
          <w:sz w:val="24"/>
        </w:rPr>
      </w:pPr>
      <w:r>
        <w:rPr>
          <w:rFonts w:hint="eastAsia" w:ascii="宋体" w:hAnsi="宋体" w:cs="宋体"/>
          <w:b/>
          <w:sz w:val="24"/>
        </w:rPr>
        <w:t>五、主要技术参数及</w:t>
      </w:r>
      <w:r>
        <w:rPr>
          <w:rFonts w:hint="eastAsia" w:ascii="宋体" w:hAnsi="宋体" w:cs="宋体"/>
          <w:b/>
          <w:bCs/>
          <w:sz w:val="24"/>
        </w:rPr>
        <w:t>要求</w:t>
      </w:r>
      <w:r>
        <w:rPr>
          <w:rFonts w:hint="eastAsia" w:ascii="宋体" w:hAnsi="宋体" w:cs="宋体"/>
          <w:b/>
          <w:sz w:val="24"/>
        </w:rPr>
        <w:t>（投标人应注意在技术要求中如果出现了参考品牌或规格型号，其目的是为了方便投标人直观和准确地把握相应材料和设备的技术标准，不具有指定或唯一的意思表示，投标人应当提供参考品牌所列的材料和设备，或不低于所列参考品牌技术标准的材料和设备。）</w:t>
      </w:r>
    </w:p>
    <w:p w14:paraId="1BCBAFC7">
      <w:pPr>
        <w:pStyle w:val="20"/>
        <w:widowControl/>
        <w:adjustRightInd w:val="0"/>
        <w:snapToGrid w:val="0"/>
        <w:spacing w:before="0" w:after="0" w:line="300" w:lineRule="auto"/>
        <w:ind w:firstLine="482" w:firstLineChars="200"/>
        <w:rPr>
          <w:rFonts w:ascii="宋体" w:hAnsi="宋体" w:cs="宋体"/>
          <w:b/>
          <w:bCs/>
          <w:sz w:val="24"/>
          <w:lang w:eastAsia="zh-CN"/>
        </w:rPr>
      </w:pPr>
      <w:r>
        <w:rPr>
          <w:rFonts w:hint="eastAsia" w:ascii="宋体" w:hAnsi="宋体" w:cs="宋体"/>
          <w:b/>
          <w:bCs/>
          <w:sz w:val="24"/>
          <w:lang w:eastAsia="zh-CN"/>
        </w:rPr>
        <w:t>1.平台功能要求</w:t>
      </w:r>
    </w:p>
    <w:p w14:paraId="4A5F9C0D">
      <w:pPr>
        <w:pStyle w:val="20"/>
        <w:widowControl/>
        <w:adjustRightInd w:val="0"/>
        <w:snapToGrid w:val="0"/>
        <w:spacing w:before="0" w:after="0" w:line="300" w:lineRule="auto"/>
        <w:ind w:firstLine="422" w:firstLineChars="200"/>
        <w:rPr>
          <w:rFonts w:ascii="宋体" w:hAnsi="宋体" w:cs="宋体"/>
          <w:b/>
          <w:szCs w:val="21"/>
        </w:rPr>
      </w:pPr>
      <w:r>
        <w:rPr>
          <w:rFonts w:hint="eastAsia" w:ascii="宋体" w:hAnsi="宋体" w:cs="宋体"/>
          <w:b/>
          <w:bCs/>
          <w:szCs w:val="21"/>
          <w:lang w:eastAsia="zh-CN"/>
        </w:rPr>
        <w:t>1.1.平台架构及安装环境</w:t>
      </w:r>
    </w:p>
    <w:p w14:paraId="414AE0B9">
      <w:pPr>
        <w:adjustRightInd w:val="0"/>
        <w:snapToGrid w:val="0"/>
        <w:spacing w:line="300" w:lineRule="auto"/>
        <w:ind w:firstLine="446" w:firstLineChars="200"/>
        <w:rPr>
          <w:rFonts w:ascii="宋体" w:hAnsi="宋体" w:cs="宋体"/>
          <w:szCs w:val="21"/>
        </w:rPr>
      </w:pPr>
      <w:r>
        <w:rPr>
          <w:rFonts w:hint="eastAsia" w:ascii="宋体" w:hAnsi="宋体" w:cs="宋体"/>
          <w:b/>
          <w:spacing w:val="6"/>
          <w:szCs w:val="21"/>
        </w:rPr>
        <w:t>★</w:t>
      </w:r>
      <w:r>
        <w:rPr>
          <w:rFonts w:hint="eastAsia" w:ascii="宋体" w:hAnsi="宋体" w:cs="宋体"/>
          <w:szCs w:val="21"/>
        </w:rPr>
        <w:t>1）系统架构：保证系统安全、稳定，系统需采用Client/Server（客户端/服务器）架构。</w:t>
      </w:r>
    </w:p>
    <w:p w14:paraId="72BBE96C">
      <w:pPr>
        <w:adjustRightInd w:val="0"/>
        <w:snapToGrid w:val="0"/>
        <w:spacing w:line="300" w:lineRule="auto"/>
        <w:ind w:firstLine="420" w:firstLineChars="200"/>
        <w:rPr>
          <w:rFonts w:ascii="宋体" w:hAnsi="宋体" w:cs="宋体"/>
          <w:szCs w:val="21"/>
        </w:rPr>
      </w:pPr>
      <w:r>
        <w:rPr>
          <w:rFonts w:hint="eastAsia" w:ascii="宋体" w:hAnsi="宋体" w:cs="宋体"/>
          <w:szCs w:val="21"/>
        </w:rPr>
        <w:t>2）服务器操作系统支持Windows Server 2008及以上服务器操作系统。</w:t>
      </w:r>
    </w:p>
    <w:p w14:paraId="35FB0EC4">
      <w:pPr>
        <w:adjustRightInd w:val="0"/>
        <w:snapToGrid w:val="0"/>
        <w:spacing w:line="300" w:lineRule="auto"/>
        <w:ind w:firstLine="420" w:firstLineChars="200"/>
        <w:rPr>
          <w:rFonts w:ascii="宋体" w:hAnsi="宋体" w:cs="宋体"/>
          <w:szCs w:val="21"/>
        </w:rPr>
      </w:pPr>
      <w:r>
        <w:rPr>
          <w:rFonts w:hint="eastAsia" w:ascii="宋体" w:hAnsi="宋体" w:cs="宋体"/>
          <w:szCs w:val="21"/>
        </w:rPr>
        <w:t>3）服务器数据库支持Microsoft SQL Server 2008及以上数据库。</w:t>
      </w:r>
    </w:p>
    <w:p w14:paraId="29C3227E">
      <w:pPr>
        <w:adjustRightInd w:val="0"/>
        <w:snapToGrid w:val="0"/>
        <w:spacing w:line="300" w:lineRule="auto"/>
        <w:ind w:firstLine="420" w:firstLineChars="200"/>
        <w:rPr>
          <w:rFonts w:ascii="宋体" w:hAnsi="宋体" w:cs="宋体"/>
          <w:szCs w:val="21"/>
        </w:rPr>
      </w:pPr>
      <w:r>
        <w:rPr>
          <w:rFonts w:hint="eastAsia" w:ascii="宋体" w:hAnsi="宋体" w:cs="宋体"/>
          <w:szCs w:val="21"/>
        </w:rPr>
        <w:t>4）客户端操作系统支持Windows 7、Windows 10、Windows 11。</w:t>
      </w:r>
    </w:p>
    <w:p w14:paraId="732E0B9E">
      <w:pPr>
        <w:adjustRightInd w:val="0"/>
        <w:snapToGrid w:val="0"/>
        <w:spacing w:line="300" w:lineRule="auto"/>
        <w:ind w:firstLine="446" w:firstLineChars="200"/>
        <w:rPr>
          <w:rFonts w:ascii="宋体" w:hAnsi="宋体" w:cs="宋体"/>
          <w:b/>
          <w:bCs/>
          <w:szCs w:val="21"/>
        </w:rPr>
      </w:pPr>
      <w:r>
        <w:rPr>
          <w:rFonts w:hint="eastAsia" w:ascii="宋体" w:hAnsi="宋体" w:cs="宋体"/>
          <w:b/>
          <w:spacing w:val="6"/>
          <w:szCs w:val="21"/>
        </w:rPr>
        <w:t>★</w:t>
      </w:r>
      <w:r>
        <w:rPr>
          <w:rFonts w:hint="eastAsia" w:ascii="宋体" w:hAnsi="宋体" w:cs="宋体"/>
          <w:szCs w:val="21"/>
        </w:rPr>
        <w:t>5）相关工具要求：提供独立数据备份工具、独立题库导入。</w:t>
      </w:r>
    </w:p>
    <w:p w14:paraId="304D4668">
      <w:pPr>
        <w:adjustRightInd w:val="0"/>
        <w:snapToGrid w:val="0"/>
        <w:spacing w:line="300" w:lineRule="auto"/>
        <w:ind w:firstLine="422" w:firstLineChars="200"/>
        <w:rPr>
          <w:rFonts w:ascii="宋体" w:hAnsi="宋体" w:cs="宋体"/>
          <w:b/>
          <w:bCs/>
          <w:szCs w:val="21"/>
        </w:rPr>
      </w:pPr>
      <w:r>
        <w:rPr>
          <w:rFonts w:hint="eastAsia" w:ascii="宋体" w:hAnsi="宋体" w:cs="宋体"/>
          <w:b/>
          <w:bCs/>
          <w:szCs w:val="21"/>
        </w:rPr>
        <w:t>1.2.平台考试管理功能</w:t>
      </w:r>
    </w:p>
    <w:p w14:paraId="6CA6992A">
      <w:pPr>
        <w:adjustRightInd w:val="0"/>
        <w:snapToGrid w:val="0"/>
        <w:spacing w:line="300" w:lineRule="auto"/>
        <w:ind w:firstLine="420" w:firstLineChars="200"/>
        <w:rPr>
          <w:rFonts w:ascii="宋体" w:hAnsi="宋体" w:cs="宋体"/>
          <w:szCs w:val="21"/>
        </w:rPr>
      </w:pPr>
      <w:r>
        <w:rPr>
          <w:rFonts w:hint="eastAsia" w:ascii="宋体" w:hAnsi="宋体" w:cs="宋体"/>
          <w:szCs w:val="21"/>
        </w:rPr>
        <w:t>1）能进行考试相关的各种参数设置，即时监控考试过程，支持考生信息查看、登录监控、信息备份、成绩导出等。</w:t>
      </w:r>
    </w:p>
    <w:p w14:paraId="53522AA1">
      <w:pPr>
        <w:adjustRightInd w:val="0"/>
        <w:snapToGrid w:val="0"/>
        <w:spacing w:line="300" w:lineRule="auto"/>
        <w:ind w:firstLine="420" w:firstLineChars="200"/>
        <w:rPr>
          <w:rFonts w:ascii="宋体" w:hAnsi="宋体" w:cs="宋体"/>
          <w:szCs w:val="21"/>
        </w:rPr>
      </w:pPr>
      <w:r>
        <w:rPr>
          <w:rFonts w:hint="eastAsia" w:ascii="宋体" w:hAnsi="宋体" w:cs="宋体"/>
          <w:szCs w:val="21"/>
        </w:rPr>
        <w:t>▲2）支持单一学号多模式登录。</w:t>
      </w:r>
    </w:p>
    <w:p w14:paraId="44B071BD">
      <w:pPr>
        <w:adjustRightInd w:val="0"/>
        <w:snapToGrid w:val="0"/>
        <w:spacing w:line="300" w:lineRule="auto"/>
        <w:ind w:firstLine="420" w:firstLineChars="200"/>
        <w:rPr>
          <w:rFonts w:ascii="宋体" w:hAnsi="宋体" w:cs="宋体"/>
          <w:szCs w:val="21"/>
        </w:rPr>
      </w:pPr>
      <w:r>
        <w:rPr>
          <w:rFonts w:hint="eastAsia" w:ascii="宋体" w:hAnsi="宋体" w:cs="宋体"/>
          <w:szCs w:val="21"/>
        </w:rPr>
        <w:t>▲3）支持大规模考试及测试任务安排，后台不作任何调整，同一学号支持数千人同时对一个方案的多次测试。</w:t>
      </w:r>
    </w:p>
    <w:p w14:paraId="776897F7">
      <w:pPr>
        <w:adjustRightInd w:val="0"/>
        <w:snapToGrid w:val="0"/>
        <w:spacing w:line="300" w:lineRule="auto"/>
        <w:ind w:firstLine="420" w:firstLineChars="200"/>
        <w:rPr>
          <w:rFonts w:ascii="宋体" w:hAnsi="宋体" w:cs="宋体"/>
          <w:szCs w:val="21"/>
        </w:rPr>
      </w:pPr>
      <w:r>
        <w:rPr>
          <w:rFonts w:hint="eastAsia" w:ascii="宋体" w:hAnsi="宋体" w:cs="宋体"/>
          <w:szCs w:val="21"/>
        </w:rPr>
        <w:t>4）同平台下支持多科课程及多种考核模式交叉运行及同时校验。</w:t>
      </w:r>
    </w:p>
    <w:p w14:paraId="2B5BF782">
      <w:pPr>
        <w:adjustRightInd w:val="0"/>
        <w:snapToGrid w:val="0"/>
        <w:spacing w:line="300" w:lineRule="auto"/>
        <w:ind w:firstLine="420" w:firstLineChars="200"/>
        <w:rPr>
          <w:rFonts w:ascii="宋体" w:hAnsi="宋体" w:cs="宋体"/>
          <w:szCs w:val="21"/>
        </w:rPr>
      </w:pPr>
      <w:r>
        <w:rPr>
          <w:rFonts w:hint="eastAsia" w:ascii="宋体" w:hAnsi="宋体" w:cs="宋体"/>
          <w:szCs w:val="21"/>
        </w:rPr>
        <w:t>5）可设定考点端考试时长、监考密码。是否二次异地登录、支持场次时间段登录、支持考前签名功能。</w:t>
      </w:r>
      <w:r>
        <w:rPr>
          <w:rFonts w:hint="eastAsia" w:ascii="宋体" w:hAnsi="宋体" w:cs="宋体"/>
          <w:szCs w:val="21"/>
          <w:highlight w:val="none"/>
        </w:rPr>
        <w:t>支持二次登录时，试题顺序不变，保留已经操作的内容。</w:t>
      </w:r>
    </w:p>
    <w:p w14:paraId="1D2B40BF">
      <w:pPr>
        <w:adjustRightInd w:val="0"/>
        <w:snapToGrid w:val="0"/>
        <w:spacing w:line="300" w:lineRule="auto"/>
        <w:ind w:firstLine="420" w:firstLineChars="200"/>
        <w:rPr>
          <w:rFonts w:ascii="宋体" w:hAnsi="宋体" w:cs="宋体"/>
          <w:szCs w:val="21"/>
        </w:rPr>
      </w:pPr>
      <w:r>
        <w:rPr>
          <w:rFonts w:hint="eastAsia" w:ascii="宋体" w:hAnsi="宋体" w:cs="宋体"/>
          <w:szCs w:val="21"/>
        </w:rPr>
        <w:t>6）考试端学生交卷后所有数据加密处理，不可修改，非解密软件打开其它任意方式打开加密文件，加密文件失效。</w:t>
      </w:r>
    </w:p>
    <w:p w14:paraId="3B5C9DD1">
      <w:pPr>
        <w:adjustRightInd w:val="0"/>
        <w:snapToGrid w:val="0"/>
        <w:spacing w:line="300" w:lineRule="auto"/>
        <w:ind w:firstLine="446" w:firstLineChars="200"/>
        <w:rPr>
          <w:rFonts w:ascii="宋体" w:hAnsi="宋体" w:cs="宋体"/>
          <w:szCs w:val="21"/>
        </w:rPr>
      </w:pPr>
      <w:r>
        <w:rPr>
          <w:rFonts w:hint="eastAsia" w:ascii="宋体" w:hAnsi="宋体" w:cs="宋体"/>
          <w:b/>
          <w:spacing w:val="6"/>
          <w:szCs w:val="21"/>
        </w:rPr>
        <w:t>★</w:t>
      </w:r>
      <w:r>
        <w:rPr>
          <w:rFonts w:hint="eastAsia" w:ascii="宋体" w:hAnsi="宋体" w:cs="宋体"/>
          <w:szCs w:val="21"/>
        </w:rPr>
        <w:t>7）考试端加密上传详细操作日志功能，记录学生作答机器IP及计算机名、学生选择作答试题时间、切换试题时间、交卷时间等。考点端可对学生进行强制收卷、标记违纪、更换机器等操作。多层加密。通过专有动态密钥解密后方可进行考试。</w:t>
      </w:r>
    </w:p>
    <w:p w14:paraId="4988B451">
      <w:pPr>
        <w:adjustRightInd w:val="0"/>
        <w:snapToGrid w:val="0"/>
        <w:spacing w:line="300" w:lineRule="auto"/>
        <w:ind w:firstLine="420" w:firstLineChars="200"/>
        <w:rPr>
          <w:rFonts w:ascii="宋体" w:hAnsi="宋体" w:cs="宋体"/>
          <w:szCs w:val="21"/>
        </w:rPr>
      </w:pPr>
      <w:r>
        <w:rPr>
          <w:rFonts w:hint="eastAsia" w:ascii="宋体" w:hAnsi="宋体" w:cs="宋体"/>
          <w:szCs w:val="21"/>
        </w:rPr>
        <w:t>8）作业模式可设置作答“次数”的范围可以设置指定次数（例如只能作答1、3、9次），每次作答的“时间间隔”可以设置（比如两次作答时间间隔不得少于1周）。</w:t>
      </w:r>
    </w:p>
    <w:p w14:paraId="0D6DD564">
      <w:pPr>
        <w:adjustRightInd w:val="0"/>
        <w:snapToGrid w:val="0"/>
        <w:spacing w:line="300" w:lineRule="auto"/>
        <w:ind w:firstLine="420" w:firstLineChars="200"/>
        <w:rPr>
          <w:rFonts w:ascii="宋体" w:hAnsi="宋体" w:cs="宋体"/>
          <w:szCs w:val="21"/>
        </w:rPr>
      </w:pPr>
      <w:r>
        <w:rPr>
          <w:rFonts w:hint="eastAsia" w:ascii="宋体" w:hAnsi="宋体" w:cs="宋体"/>
          <w:szCs w:val="21"/>
        </w:rPr>
        <w:t>9）学生可以针对老师开放作业模式方案作答前预约场次，每场次可设定预约人数限制。</w:t>
      </w:r>
    </w:p>
    <w:p w14:paraId="06926ED1">
      <w:pPr>
        <w:adjustRightInd w:val="0"/>
        <w:snapToGrid w:val="0"/>
        <w:spacing w:line="300" w:lineRule="auto"/>
        <w:ind w:firstLine="420" w:firstLineChars="200"/>
        <w:rPr>
          <w:rFonts w:ascii="宋体" w:hAnsi="宋体" w:cs="宋体"/>
          <w:szCs w:val="21"/>
        </w:rPr>
      </w:pPr>
      <w:r>
        <w:rPr>
          <w:rFonts w:hint="eastAsia" w:ascii="宋体" w:hAnsi="宋体" w:cs="宋体"/>
          <w:szCs w:val="21"/>
        </w:rPr>
        <w:t>▲10）客户端支持禁止共享文件夹，禁止U盘使用功能，支持限制QQ等聊天工具，支持限制网页进行等防作弊功能。</w:t>
      </w:r>
    </w:p>
    <w:p w14:paraId="4A6BFF0C">
      <w:pPr>
        <w:adjustRightInd w:val="0"/>
        <w:snapToGrid w:val="0"/>
        <w:spacing w:line="300" w:lineRule="auto"/>
        <w:ind w:firstLine="446" w:firstLineChars="200"/>
        <w:rPr>
          <w:rFonts w:ascii="宋体" w:hAnsi="宋体" w:cs="宋体"/>
          <w:szCs w:val="21"/>
        </w:rPr>
      </w:pPr>
      <w:r>
        <w:rPr>
          <w:rFonts w:hint="eastAsia" w:ascii="宋体" w:hAnsi="宋体" w:cs="宋体"/>
          <w:b/>
          <w:spacing w:val="6"/>
          <w:szCs w:val="21"/>
        </w:rPr>
        <w:t>★</w:t>
      </w:r>
      <w:r>
        <w:rPr>
          <w:rFonts w:hint="eastAsia" w:ascii="宋体" w:hAnsi="宋体" w:cs="宋体"/>
          <w:szCs w:val="21"/>
        </w:rPr>
        <w:t>11）支持office数据防作弊处理，支持以下级别：Ⅰ级：有效检测客户端登录IP、机器名、MAC等信息，做到换机及登录识别，直接切断学生私自更换电脑替考等情况。Ⅱ级：客户端考试文件有效检测，能快速识别学生文件及文件夹是否为复制粘贴的拷贝文件，进行作弊标记处理。</w:t>
      </w:r>
    </w:p>
    <w:p w14:paraId="053925A5">
      <w:pPr>
        <w:adjustRightInd w:val="0"/>
        <w:snapToGrid w:val="0"/>
        <w:spacing w:line="300" w:lineRule="auto"/>
        <w:ind w:firstLine="420" w:firstLineChars="200"/>
        <w:rPr>
          <w:rFonts w:ascii="宋体" w:hAnsi="宋体" w:cs="宋体"/>
          <w:szCs w:val="21"/>
        </w:rPr>
      </w:pPr>
      <w:r>
        <w:rPr>
          <w:rFonts w:hint="eastAsia" w:ascii="宋体" w:hAnsi="宋体" w:cs="宋体"/>
          <w:szCs w:val="21"/>
        </w:rPr>
        <w:t>12）满足多个课程、多个方案在同一时段运行，可以分别限制时间，实现对参加考试的学生进行考场、考试时间的安排，使学生只能在规定的时间、考场进行考试，错过规定的时间系统不允许考试。</w:t>
      </w:r>
    </w:p>
    <w:p w14:paraId="5091F879">
      <w:pPr>
        <w:adjustRightInd w:val="0"/>
        <w:snapToGrid w:val="0"/>
        <w:spacing w:line="300" w:lineRule="auto"/>
        <w:ind w:firstLine="420" w:firstLineChars="200"/>
        <w:rPr>
          <w:rFonts w:ascii="宋体" w:hAnsi="宋体" w:cs="宋体"/>
          <w:szCs w:val="21"/>
        </w:rPr>
      </w:pPr>
      <w:r>
        <w:rPr>
          <w:rFonts w:hint="eastAsia" w:ascii="宋体" w:hAnsi="宋体" w:cs="宋体"/>
          <w:szCs w:val="21"/>
        </w:rPr>
        <w:t>13）同一学号支持多个课程考试，不需要每次考试都设置学号，且考试完成后不需要频繁导入导出数据和信息。</w:t>
      </w:r>
    </w:p>
    <w:p w14:paraId="242F29AB">
      <w:pPr>
        <w:adjustRightInd w:val="0"/>
        <w:snapToGrid w:val="0"/>
        <w:spacing w:line="300" w:lineRule="auto"/>
        <w:ind w:firstLine="420" w:firstLineChars="200"/>
        <w:rPr>
          <w:rFonts w:ascii="宋体" w:hAnsi="宋体" w:cs="宋体"/>
          <w:szCs w:val="21"/>
        </w:rPr>
      </w:pPr>
      <w:r>
        <w:rPr>
          <w:rFonts w:hint="eastAsia" w:ascii="宋体" w:hAnsi="宋体" w:cs="宋体"/>
          <w:szCs w:val="21"/>
        </w:rPr>
        <w:t>14）系统满足作业、模拟练习和正式考试需要，支持作业、考试和练习多种模式在同一时段运行，在考生较多、机器较少的情况下可以设置场次进行考试。</w:t>
      </w:r>
    </w:p>
    <w:p w14:paraId="493800D7">
      <w:pPr>
        <w:adjustRightInd w:val="0"/>
        <w:snapToGrid w:val="0"/>
        <w:spacing w:line="300" w:lineRule="auto"/>
        <w:ind w:firstLine="420" w:firstLineChars="200"/>
        <w:rPr>
          <w:rFonts w:ascii="宋体" w:hAnsi="宋体" w:cs="宋体"/>
          <w:szCs w:val="21"/>
        </w:rPr>
      </w:pPr>
      <w:r>
        <w:rPr>
          <w:rFonts w:hint="eastAsia" w:ascii="宋体" w:hAnsi="宋体" w:cs="宋体"/>
          <w:szCs w:val="21"/>
        </w:rPr>
        <w:t>15）教师可轻松地管理分配学生的教学任务，可以按班级或者自由组合。教师可以浏览学生学习和完成作业的情况。</w:t>
      </w:r>
    </w:p>
    <w:p w14:paraId="39AF17F0">
      <w:pPr>
        <w:adjustRightInd w:val="0"/>
        <w:snapToGrid w:val="0"/>
        <w:spacing w:line="300" w:lineRule="auto"/>
        <w:ind w:firstLine="420" w:firstLineChars="200"/>
        <w:rPr>
          <w:rFonts w:ascii="宋体" w:hAnsi="宋体" w:cs="宋体"/>
          <w:szCs w:val="21"/>
        </w:rPr>
      </w:pPr>
      <w:r>
        <w:rPr>
          <w:rFonts w:hint="eastAsia" w:ascii="宋体" w:hAnsi="宋体" w:cs="宋体"/>
          <w:szCs w:val="21"/>
        </w:rPr>
        <w:t>16）支持作业管理全部流程，用户打开管理端即可完成全部操作。包括：布置作业、完成作业、批改作业、成绩统计等等。</w:t>
      </w:r>
    </w:p>
    <w:p w14:paraId="41342F32">
      <w:pPr>
        <w:adjustRightInd w:val="0"/>
        <w:snapToGrid w:val="0"/>
        <w:spacing w:line="300" w:lineRule="auto"/>
        <w:ind w:firstLine="420" w:firstLineChars="200"/>
        <w:rPr>
          <w:rFonts w:ascii="宋体" w:hAnsi="宋体" w:cs="宋体"/>
          <w:szCs w:val="21"/>
        </w:rPr>
      </w:pPr>
      <w:r>
        <w:rPr>
          <w:rFonts w:hint="eastAsia" w:ascii="宋体" w:hAnsi="宋体" w:cs="宋体"/>
          <w:szCs w:val="21"/>
        </w:rPr>
        <w:t>17）可支持在线测试，教师将定义好的综合或者专项测评试卷定义后，发布给学生，即可完成自主测评的过程。</w:t>
      </w:r>
    </w:p>
    <w:p w14:paraId="3805C997">
      <w:pPr>
        <w:adjustRightInd w:val="0"/>
        <w:snapToGrid w:val="0"/>
        <w:spacing w:line="300" w:lineRule="auto"/>
        <w:ind w:firstLine="420" w:firstLineChars="200"/>
        <w:rPr>
          <w:rFonts w:ascii="宋体" w:hAnsi="宋体" w:cs="宋体"/>
          <w:szCs w:val="21"/>
        </w:rPr>
      </w:pPr>
      <w:r>
        <w:rPr>
          <w:rFonts w:hint="eastAsia" w:ascii="宋体" w:hAnsi="宋体" w:cs="宋体"/>
          <w:szCs w:val="21"/>
        </w:rPr>
        <w:t>18）教师上传各种教师视频、音频、文档等，供学生在线浏览、学习、浏览等。</w:t>
      </w:r>
    </w:p>
    <w:p w14:paraId="4717089D">
      <w:pPr>
        <w:adjustRightInd w:val="0"/>
        <w:snapToGrid w:val="0"/>
        <w:spacing w:line="300" w:lineRule="auto"/>
        <w:ind w:firstLine="422" w:firstLineChars="200"/>
        <w:rPr>
          <w:rFonts w:ascii="宋体" w:hAnsi="宋体" w:cs="宋体"/>
          <w:szCs w:val="21"/>
        </w:rPr>
      </w:pPr>
      <w:r>
        <w:rPr>
          <w:rFonts w:hint="eastAsia" w:ascii="宋体" w:hAnsi="宋体" w:cs="宋体"/>
          <w:b/>
          <w:bCs/>
          <w:szCs w:val="21"/>
        </w:rPr>
        <w:t>1.3.平台题库管理功能</w:t>
      </w:r>
    </w:p>
    <w:p w14:paraId="032016F2">
      <w:pPr>
        <w:adjustRightInd w:val="0"/>
        <w:snapToGrid w:val="0"/>
        <w:spacing w:line="300" w:lineRule="auto"/>
        <w:ind w:firstLine="420" w:firstLineChars="200"/>
        <w:rPr>
          <w:rFonts w:ascii="宋体" w:hAnsi="宋体" w:cs="宋体"/>
          <w:szCs w:val="21"/>
        </w:rPr>
      </w:pPr>
      <w:r>
        <w:rPr>
          <w:rFonts w:hint="eastAsia" w:ascii="宋体" w:hAnsi="宋体" w:cs="宋体"/>
          <w:szCs w:val="21"/>
        </w:rPr>
        <w:t>1）题库建设支持自定义章节，学校可根据自身学科内容，创建自有知识点章节，章节知识点内容可自由编辑修改，真正实现独立开放性操作。</w:t>
      </w:r>
    </w:p>
    <w:p w14:paraId="02A74564">
      <w:pPr>
        <w:adjustRightInd w:val="0"/>
        <w:snapToGrid w:val="0"/>
        <w:spacing w:line="300" w:lineRule="auto"/>
        <w:ind w:firstLine="420" w:firstLineChars="200"/>
        <w:rPr>
          <w:rFonts w:ascii="宋体" w:hAnsi="宋体" w:cs="宋体"/>
          <w:szCs w:val="21"/>
        </w:rPr>
      </w:pPr>
      <w:r>
        <w:rPr>
          <w:rFonts w:hint="eastAsia" w:ascii="宋体" w:hAnsi="宋体" w:cs="宋体"/>
          <w:szCs w:val="21"/>
        </w:rPr>
        <w:t>2）可按照章节、类别等结构树建设，满足知识点覆盖面全的要求。</w:t>
      </w:r>
    </w:p>
    <w:p w14:paraId="54401B1F">
      <w:pPr>
        <w:adjustRightInd w:val="0"/>
        <w:snapToGrid w:val="0"/>
        <w:spacing w:line="300" w:lineRule="auto"/>
        <w:ind w:firstLine="420" w:firstLineChars="200"/>
        <w:rPr>
          <w:rFonts w:ascii="宋体" w:hAnsi="宋体" w:cs="宋体"/>
          <w:szCs w:val="21"/>
        </w:rPr>
      </w:pPr>
      <w:r>
        <w:rPr>
          <w:rFonts w:hint="eastAsia" w:ascii="宋体" w:hAnsi="宋体" w:cs="宋体"/>
          <w:szCs w:val="21"/>
        </w:rPr>
        <w:t>3）试题类型及难易度划分：要求系统支持难易度分为 难-中-易，试题可分类别及难易度储存试题，自动区分。</w:t>
      </w:r>
    </w:p>
    <w:p w14:paraId="1BD913F0">
      <w:pPr>
        <w:adjustRightInd w:val="0"/>
        <w:snapToGrid w:val="0"/>
        <w:spacing w:line="300" w:lineRule="auto"/>
        <w:ind w:firstLine="420" w:firstLineChars="200"/>
        <w:rPr>
          <w:rFonts w:ascii="宋体" w:hAnsi="宋体" w:cs="宋体"/>
          <w:szCs w:val="21"/>
        </w:rPr>
      </w:pPr>
      <w:r>
        <w:rPr>
          <w:rFonts w:hint="eastAsia" w:ascii="宋体" w:hAnsi="宋体" w:cs="宋体"/>
          <w:szCs w:val="21"/>
        </w:rPr>
        <w:t>▲4）提供试题解析功能，单个试题支持独立添加解析。</w:t>
      </w:r>
    </w:p>
    <w:p w14:paraId="5B6E29DE">
      <w:pPr>
        <w:adjustRightInd w:val="0"/>
        <w:snapToGrid w:val="0"/>
        <w:spacing w:line="300" w:lineRule="auto"/>
        <w:ind w:firstLine="420" w:firstLineChars="200"/>
        <w:rPr>
          <w:rFonts w:ascii="宋体" w:hAnsi="宋体" w:cs="宋体"/>
          <w:szCs w:val="21"/>
        </w:rPr>
      </w:pPr>
      <w:r>
        <w:rPr>
          <w:rFonts w:hint="eastAsia" w:ascii="宋体" w:hAnsi="宋体" w:cs="宋体"/>
          <w:szCs w:val="21"/>
        </w:rPr>
        <w:t>5）支持自动化批量导入功能，系统提供专业模板选择一键导入，同时可按照创建的章节知识点节点定向导入。</w:t>
      </w:r>
    </w:p>
    <w:p w14:paraId="61758F75">
      <w:pPr>
        <w:adjustRightInd w:val="0"/>
        <w:snapToGrid w:val="0"/>
        <w:spacing w:line="300" w:lineRule="auto"/>
        <w:ind w:firstLine="446" w:firstLineChars="200"/>
        <w:rPr>
          <w:rFonts w:ascii="宋体" w:hAnsi="宋体" w:cs="宋体"/>
          <w:szCs w:val="21"/>
        </w:rPr>
      </w:pPr>
      <w:r>
        <w:rPr>
          <w:rFonts w:hint="eastAsia" w:ascii="宋体" w:hAnsi="宋体" w:cs="宋体"/>
          <w:b/>
          <w:spacing w:val="6"/>
          <w:szCs w:val="21"/>
        </w:rPr>
        <w:t>★</w:t>
      </w:r>
      <w:r>
        <w:rPr>
          <w:rFonts w:hint="eastAsia" w:ascii="宋体" w:hAnsi="宋体" w:cs="宋体"/>
          <w:szCs w:val="21"/>
        </w:rPr>
        <w:t>6）支持批量一键复制功能、批量修改章节功能、批量锁定解锁功能、批量分配试题编辑权限（分配试题给相应教师后，方可独立编辑修改）、题号快速定位功能。</w:t>
      </w:r>
    </w:p>
    <w:p w14:paraId="5D66E34B">
      <w:pPr>
        <w:spacing w:line="300" w:lineRule="auto"/>
        <w:ind w:firstLine="420" w:firstLineChars="200"/>
        <w:rPr>
          <w:rFonts w:ascii="宋体" w:hAnsi="宋体" w:cs="宋体"/>
        </w:rPr>
      </w:pPr>
      <w:r>
        <w:rPr>
          <w:rFonts w:hint="eastAsia" w:ascii="宋体" w:hAnsi="宋体" w:cs="宋体"/>
          <w:szCs w:val="21"/>
        </w:rPr>
        <w:t>▲</w:t>
      </w:r>
      <w:r>
        <w:rPr>
          <w:rFonts w:hint="eastAsia" w:ascii="宋体" w:hAnsi="宋体" w:cs="宋体"/>
        </w:rPr>
        <w:t>7）支持表格题型，可自由设置表格行数和列数，设置表格显示和隐藏行标题、列标题，支持按单元格、行数、列数比例计分的评分策略。</w:t>
      </w:r>
    </w:p>
    <w:p w14:paraId="2F403796">
      <w:pPr>
        <w:adjustRightInd w:val="0"/>
        <w:snapToGrid w:val="0"/>
        <w:spacing w:line="300" w:lineRule="auto"/>
        <w:ind w:firstLine="422" w:firstLineChars="200"/>
        <w:rPr>
          <w:rFonts w:ascii="宋体" w:hAnsi="宋体" w:cs="宋体"/>
          <w:szCs w:val="21"/>
        </w:rPr>
      </w:pPr>
      <w:r>
        <w:rPr>
          <w:rFonts w:hint="eastAsia" w:ascii="宋体" w:hAnsi="宋体" w:cs="宋体"/>
          <w:b/>
          <w:bCs/>
          <w:szCs w:val="21"/>
        </w:rPr>
        <w:t>1.4.平台试卷管理功能</w:t>
      </w:r>
    </w:p>
    <w:p w14:paraId="1DFA72CB">
      <w:pPr>
        <w:adjustRightInd w:val="0"/>
        <w:snapToGrid w:val="0"/>
        <w:spacing w:line="300" w:lineRule="auto"/>
        <w:ind w:firstLine="420" w:firstLineChars="200"/>
        <w:rPr>
          <w:rFonts w:ascii="宋体" w:hAnsi="宋体" w:cs="宋体"/>
          <w:szCs w:val="21"/>
        </w:rPr>
      </w:pPr>
      <w:r>
        <w:rPr>
          <w:rFonts w:hint="eastAsia" w:ascii="宋体" w:hAnsi="宋体" w:cs="宋体"/>
          <w:szCs w:val="21"/>
        </w:rPr>
        <w:t>1）平台组卷时能将权限内所有科目及题型呈现给组卷教师，教师根据需求选择科目及题型。</w:t>
      </w:r>
    </w:p>
    <w:p w14:paraId="6D963FC9">
      <w:pPr>
        <w:adjustRightInd w:val="0"/>
        <w:snapToGrid w:val="0"/>
        <w:spacing w:line="300" w:lineRule="auto"/>
        <w:ind w:firstLine="420" w:firstLineChars="200"/>
        <w:rPr>
          <w:rFonts w:ascii="宋体" w:hAnsi="宋体" w:cs="宋体"/>
          <w:szCs w:val="21"/>
        </w:rPr>
      </w:pPr>
      <w:r>
        <w:rPr>
          <w:rFonts w:hint="eastAsia" w:ascii="宋体" w:hAnsi="宋体" w:cs="宋体"/>
          <w:szCs w:val="21"/>
        </w:rPr>
        <w:t>2）试题管理在不改变原节点试题情况下，可复制试题到其他节点下进行随机及选题组卷。</w:t>
      </w:r>
    </w:p>
    <w:p w14:paraId="3492EC4D">
      <w:pPr>
        <w:adjustRightInd w:val="0"/>
        <w:snapToGrid w:val="0"/>
        <w:spacing w:line="300" w:lineRule="auto"/>
        <w:ind w:firstLine="420" w:firstLineChars="200"/>
        <w:rPr>
          <w:rFonts w:ascii="宋体" w:hAnsi="宋体" w:cs="宋体"/>
          <w:szCs w:val="21"/>
        </w:rPr>
      </w:pPr>
      <w:r>
        <w:rPr>
          <w:rFonts w:hint="eastAsia" w:ascii="宋体" w:hAnsi="宋体" w:cs="宋体"/>
          <w:szCs w:val="21"/>
        </w:rPr>
        <w:t>3）试题题型自定义选择：教师可根据所选科目下列举题型，快速定位题型下的各个章节知识点及难易度适中的试题。</w:t>
      </w:r>
    </w:p>
    <w:p w14:paraId="18061A6D">
      <w:pPr>
        <w:adjustRightInd w:val="0"/>
        <w:snapToGrid w:val="0"/>
        <w:spacing w:line="300" w:lineRule="auto"/>
        <w:ind w:firstLine="420" w:firstLineChars="200"/>
        <w:rPr>
          <w:rFonts w:ascii="宋体" w:hAnsi="宋体" w:cs="宋体"/>
          <w:szCs w:val="21"/>
        </w:rPr>
      </w:pPr>
      <w:r>
        <w:rPr>
          <w:rFonts w:hint="eastAsia" w:ascii="宋体" w:hAnsi="宋体" w:cs="宋体"/>
          <w:szCs w:val="21"/>
        </w:rPr>
        <w:t>4）根据科目考试需求及题型要求，自定义考试规则，定向抽取试题，可一键生成百张试卷。</w:t>
      </w:r>
    </w:p>
    <w:p w14:paraId="6837FBB8">
      <w:pPr>
        <w:adjustRightInd w:val="0"/>
        <w:snapToGrid w:val="0"/>
        <w:spacing w:line="300" w:lineRule="auto"/>
        <w:ind w:firstLine="446" w:firstLineChars="200"/>
        <w:rPr>
          <w:rFonts w:ascii="宋体" w:hAnsi="宋体" w:cs="宋体"/>
          <w:szCs w:val="21"/>
        </w:rPr>
      </w:pPr>
      <w:r>
        <w:rPr>
          <w:rFonts w:hint="eastAsia" w:ascii="宋体" w:hAnsi="宋体" w:cs="宋体"/>
          <w:b/>
          <w:spacing w:val="6"/>
          <w:szCs w:val="21"/>
        </w:rPr>
        <w:t>★</w:t>
      </w:r>
      <w:r>
        <w:rPr>
          <w:rFonts w:hint="eastAsia" w:ascii="宋体" w:hAnsi="宋体" w:cs="宋体"/>
          <w:szCs w:val="21"/>
        </w:rPr>
        <w:t>5）试卷抽取模式：系统可将试卷定义AB卷、场次试卷、场次AB卷、随机试卷等多种形式试卷，方便学生抽取；学生可按照试卷随机抽取、按照学号轮序抽取、按照AB卷抽取，同时试卷中可打乱试题及题型顺序生成不同试卷功能。</w:t>
      </w:r>
    </w:p>
    <w:p w14:paraId="4795C99E">
      <w:pPr>
        <w:adjustRightInd w:val="0"/>
        <w:snapToGrid w:val="0"/>
        <w:spacing w:line="300" w:lineRule="auto"/>
        <w:ind w:firstLine="420" w:firstLineChars="200"/>
        <w:rPr>
          <w:rFonts w:ascii="宋体" w:hAnsi="宋体" w:cs="宋体"/>
          <w:szCs w:val="21"/>
        </w:rPr>
      </w:pPr>
      <w:r>
        <w:rPr>
          <w:rFonts w:hint="eastAsia" w:ascii="宋体" w:hAnsi="宋体" w:cs="宋体"/>
          <w:szCs w:val="21"/>
        </w:rPr>
        <w:t>6）可以按照课程根据学科、年级、自由选择试题组卷，也可以选择完整的试卷，在线进行测评，交卷后，查看答题情况和试题讲解。</w:t>
      </w:r>
    </w:p>
    <w:p w14:paraId="0F1B7546">
      <w:pPr>
        <w:adjustRightInd w:val="0"/>
        <w:snapToGrid w:val="0"/>
        <w:spacing w:line="300" w:lineRule="auto"/>
        <w:ind w:firstLine="420" w:firstLineChars="200"/>
        <w:rPr>
          <w:rFonts w:ascii="宋体" w:hAnsi="宋体" w:cs="宋体"/>
          <w:szCs w:val="21"/>
        </w:rPr>
      </w:pPr>
      <w:r>
        <w:rPr>
          <w:rFonts w:hint="eastAsia" w:ascii="宋体" w:hAnsi="宋体" w:cs="宋体"/>
          <w:szCs w:val="21"/>
        </w:rPr>
        <w:t>7）支持创建公开和私有的试卷方案，公开方案其他非创建者都可以使用。</w:t>
      </w:r>
    </w:p>
    <w:p w14:paraId="7600400F">
      <w:pPr>
        <w:adjustRightInd w:val="0"/>
        <w:snapToGrid w:val="0"/>
        <w:spacing w:line="300" w:lineRule="auto"/>
        <w:ind w:firstLine="420" w:firstLineChars="200"/>
        <w:rPr>
          <w:rFonts w:ascii="宋体" w:hAnsi="宋体" w:cs="宋体"/>
          <w:szCs w:val="21"/>
        </w:rPr>
      </w:pPr>
      <w:r>
        <w:rPr>
          <w:rFonts w:hint="eastAsia" w:ascii="宋体" w:hAnsi="宋体" w:cs="宋体"/>
          <w:szCs w:val="21"/>
        </w:rPr>
        <w:t>8）支持将多科目题型试题混合组在一张试卷的功能。</w:t>
      </w:r>
    </w:p>
    <w:p w14:paraId="6F7D2D9A">
      <w:pPr>
        <w:adjustRightInd w:val="0"/>
        <w:snapToGrid w:val="0"/>
        <w:spacing w:line="300" w:lineRule="auto"/>
        <w:ind w:firstLine="420" w:firstLineChars="200"/>
        <w:rPr>
          <w:rFonts w:ascii="宋体" w:hAnsi="宋体" w:cs="宋体"/>
          <w:szCs w:val="21"/>
        </w:rPr>
      </w:pPr>
      <w:r>
        <w:rPr>
          <w:rFonts w:hint="eastAsia" w:ascii="宋体" w:hAnsi="宋体" w:cs="宋体"/>
          <w:szCs w:val="21"/>
        </w:rPr>
        <w:t>9）支持试卷方案复制功能，可复制为不同于原有方案类型的新的方案，并可复制方案下的所有试卷。</w:t>
      </w:r>
    </w:p>
    <w:p w14:paraId="7F33F2DD">
      <w:pPr>
        <w:adjustRightInd w:val="0"/>
        <w:snapToGrid w:val="0"/>
        <w:spacing w:line="300" w:lineRule="auto"/>
        <w:ind w:firstLine="420" w:firstLineChars="200"/>
        <w:rPr>
          <w:rFonts w:ascii="宋体" w:hAnsi="宋体" w:cs="宋体"/>
          <w:szCs w:val="21"/>
        </w:rPr>
      </w:pPr>
      <w:r>
        <w:rPr>
          <w:rFonts w:hint="eastAsia" w:ascii="宋体" w:hAnsi="宋体" w:cs="宋体"/>
          <w:szCs w:val="21"/>
        </w:rPr>
        <w:t>10）支持试卷方案导入导出功能，方便在不同服务器间的数据迁移。</w:t>
      </w:r>
    </w:p>
    <w:p w14:paraId="6F3740ED">
      <w:pPr>
        <w:adjustRightInd w:val="0"/>
        <w:snapToGrid w:val="0"/>
        <w:spacing w:line="300" w:lineRule="auto"/>
        <w:ind w:firstLine="420" w:firstLineChars="200"/>
        <w:rPr>
          <w:rFonts w:ascii="宋体" w:hAnsi="宋体" w:cs="宋体"/>
          <w:szCs w:val="21"/>
        </w:rPr>
      </w:pPr>
      <w:r>
        <w:rPr>
          <w:rFonts w:hint="eastAsia" w:ascii="宋体" w:hAnsi="宋体" w:cs="宋体"/>
          <w:szCs w:val="21"/>
        </w:rPr>
        <w:t>11）提供方案全局设置功能，对方案统一进行启动、停止操作。</w:t>
      </w:r>
    </w:p>
    <w:p w14:paraId="339A61B3">
      <w:pPr>
        <w:adjustRightInd w:val="0"/>
        <w:snapToGrid w:val="0"/>
        <w:spacing w:line="300" w:lineRule="auto"/>
        <w:ind w:firstLine="420" w:firstLineChars="200"/>
        <w:rPr>
          <w:rFonts w:ascii="宋体" w:hAnsi="宋体" w:cs="宋体"/>
          <w:szCs w:val="21"/>
        </w:rPr>
      </w:pPr>
      <w:r>
        <w:rPr>
          <w:rFonts w:hint="eastAsia" w:ascii="宋体" w:hAnsi="宋体" w:cs="宋体"/>
          <w:szCs w:val="21"/>
        </w:rPr>
        <w:t>12）支持手动选题与随机抽题两种生成试卷方式。</w:t>
      </w:r>
    </w:p>
    <w:p w14:paraId="3F277903">
      <w:pPr>
        <w:adjustRightInd w:val="0"/>
        <w:snapToGrid w:val="0"/>
        <w:spacing w:line="300" w:lineRule="auto"/>
        <w:ind w:firstLine="420" w:firstLineChars="200"/>
        <w:rPr>
          <w:rFonts w:ascii="宋体" w:hAnsi="宋体" w:cs="宋体"/>
          <w:szCs w:val="21"/>
        </w:rPr>
      </w:pPr>
      <w:r>
        <w:rPr>
          <w:rFonts w:hint="eastAsia" w:ascii="宋体" w:hAnsi="宋体" w:cs="宋体"/>
          <w:szCs w:val="21"/>
        </w:rPr>
        <w:t>13）支持笔试试卷生成功能，可将试卷内容转为Word试卷文件，排版方式与常规纸质试卷相同，提供固定的试卷模板。</w:t>
      </w:r>
    </w:p>
    <w:p w14:paraId="7028DB27">
      <w:pPr>
        <w:adjustRightInd w:val="0"/>
        <w:snapToGrid w:val="0"/>
        <w:spacing w:line="300" w:lineRule="auto"/>
        <w:ind w:firstLine="420" w:firstLineChars="200"/>
        <w:rPr>
          <w:rFonts w:ascii="宋体" w:hAnsi="宋体" w:cs="宋体"/>
          <w:szCs w:val="21"/>
        </w:rPr>
      </w:pPr>
      <w:r>
        <w:rPr>
          <w:rFonts w:hint="eastAsia" w:ascii="宋体" w:hAnsi="宋体" w:cs="宋体"/>
          <w:szCs w:val="21"/>
        </w:rPr>
        <w:t>14）已经存在或专家多次校对过的试卷可进行多次试题乱序操作，选择题选项乱序，增加考试公平性。</w:t>
      </w:r>
    </w:p>
    <w:p w14:paraId="5F94BB23">
      <w:pPr>
        <w:adjustRightInd w:val="0"/>
        <w:snapToGrid w:val="0"/>
        <w:spacing w:line="300" w:lineRule="auto"/>
        <w:ind w:firstLine="420" w:firstLineChars="200"/>
        <w:rPr>
          <w:rFonts w:ascii="宋体" w:hAnsi="宋体" w:cs="宋体"/>
          <w:szCs w:val="21"/>
        </w:rPr>
      </w:pPr>
      <w:r>
        <w:rPr>
          <w:rFonts w:hint="eastAsia" w:ascii="宋体" w:hAnsi="宋体" w:cs="宋体"/>
          <w:szCs w:val="21"/>
        </w:rPr>
        <w:t xml:space="preserve">▲15）支持客户端双试卷答题模式，客户端将试卷分为客观题和操作题2个部分进行作答，卷1为客观题部分，卷2为操作题部分，可在自定义设置卷1和卷2的标题。卷1提交后，不能再次回看和修改作答内容，卷2交卷后统一进行评分。 </w:t>
      </w:r>
    </w:p>
    <w:p w14:paraId="00DC0E8E">
      <w:pPr>
        <w:adjustRightInd w:val="0"/>
        <w:snapToGrid w:val="0"/>
        <w:spacing w:line="300" w:lineRule="auto"/>
        <w:ind w:firstLine="422" w:firstLineChars="200"/>
        <w:rPr>
          <w:rFonts w:ascii="宋体" w:hAnsi="宋体" w:cs="宋体"/>
          <w:szCs w:val="21"/>
        </w:rPr>
      </w:pPr>
      <w:r>
        <w:rPr>
          <w:rFonts w:hint="eastAsia" w:ascii="宋体" w:hAnsi="宋体" w:cs="宋体"/>
          <w:b/>
          <w:bCs/>
          <w:szCs w:val="21"/>
        </w:rPr>
        <w:t>1.5.平台用户管理功能</w:t>
      </w:r>
    </w:p>
    <w:p w14:paraId="52881AE9">
      <w:pPr>
        <w:adjustRightInd w:val="0"/>
        <w:snapToGrid w:val="0"/>
        <w:spacing w:line="300" w:lineRule="auto"/>
        <w:ind w:firstLine="420" w:firstLineChars="200"/>
        <w:rPr>
          <w:rFonts w:ascii="宋体" w:hAnsi="宋体" w:cs="宋体"/>
          <w:szCs w:val="21"/>
        </w:rPr>
      </w:pPr>
      <w:r>
        <w:rPr>
          <w:rFonts w:hint="eastAsia" w:ascii="宋体" w:hAnsi="宋体" w:cs="宋体"/>
          <w:szCs w:val="21"/>
        </w:rPr>
        <w:t>★1）平台可以为“教师”角色、用户，设置不同级别的权限，支持-学院级别-系部级别-普通教师级别-兼职教师-多级别授权管理功能；普通教师级别功能要求：只负责管理自己所授课程的所有功能（创建试卷方案、组织考试学习、导入学生、导出成绩分析等）无法操作别的课程；组（系）级别功能要求：可以管理本系及以下级别的所有课程所有的功能，可指定本系别及以下级别所有教师的功能权限。无法操作其他系别课程的功能；学院级别功能要求：管理本学院及以下级别所有课程、所有系别教师操作权限功能；兼职教师功能要求：可设定兼职教师功能，进行少量的功能权限分配，进行成绩的导出及考试方案的监控等功能。</w:t>
      </w:r>
    </w:p>
    <w:p w14:paraId="774E8C6D">
      <w:pPr>
        <w:adjustRightInd w:val="0"/>
        <w:snapToGrid w:val="0"/>
        <w:spacing w:line="300" w:lineRule="auto"/>
        <w:ind w:firstLine="420" w:firstLineChars="200"/>
        <w:rPr>
          <w:rFonts w:ascii="宋体" w:hAnsi="宋体" w:cs="宋体"/>
          <w:szCs w:val="21"/>
        </w:rPr>
      </w:pPr>
      <w:r>
        <w:rPr>
          <w:rFonts w:hint="eastAsia" w:ascii="宋体" w:hAnsi="宋体" w:cs="宋体"/>
          <w:szCs w:val="21"/>
        </w:rPr>
        <w:t>2）可添加教师多用户管理权限，每位可根据授权权限查看不同班级学生，可分科目管理学生信息，分方案管理学生信息。</w:t>
      </w:r>
    </w:p>
    <w:p w14:paraId="3DA34A24">
      <w:pPr>
        <w:adjustRightInd w:val="0"/>
        <w:snapToGrid w:val="0"/>
        <w:spacing w:line="300" w:lineRule="auto"/>
        <w:ind w:firstLine="420" w:firstLineChars="200"/>
        <w:rPr>
          <w:rFonts w:ascii="宋体" w:hAnsi="宋体" w:cs="宋体"/>
          <w:szCs w:val="21"/>
        </w:rPr>
      </w:pPr>
      <w:r>
        <w:rPr>
          <w:rFonts w:hint="eastAsia" w:ascii="宋体" w:hAnsi="宋体" w:cs="宋体"/>
          <w:szCs w:val="21"/>
        </w:rPr>
        <w:t>3）教师可以给不同考试方案分配不同的班级学生，可以根据方案来筛选管理学生，老师可针对特定学生、特定班级发布练习题、考试项目等资源。</w:t>
      </w:r>
    </w:p>
    <w:p w14:paraId="2D2E9147">
      <w:pPr>
        <w:adjustRightInd w:val="0"/>
        <w:snapToGrid w:val="0"/>
        <w:spacing w:line="300" w:lineRule="auto"/>
        <w:ind w:firstLine="420" w:firstLineChars="200"/>
        <w:rPr>
          <w:rFonts w:ascii="宋体" w:hAnsi="宋体" w:cs="宋体"/>
          <w:szCs w:val="21"/>
        </w:rPr>
      </w:pPr>
      <w:r>
        <w:rPr>
          <w:rFonts w:hint="eastAsia" w:ascii="宋体" w:hAnsi="宋体" w:cs="宋体"/>
          <w:szCs w:val="21"/>
        </w:rPr>
        <w:t>4）能根据教务处提供的学生用户信息Excel文档，将学生用户信息直接导入本系统，诸如：学号、班级、姓名、初始密码、考生照片等。</w:t>
      </w:r>
    </w:p>
    <w:p w14:paraId="749AF0C9">
      <w:pPr>
        <w:adjustRightInd w:val="0"/>
        <w:snapToGrid w:val="0"/>
        <w:spacing w:line="300" w:lineRule="auto"/>
        <w:ind w:firstLine="420" w:firstLineChars="200"/>
        <w:rPr>
          <w:rFonts w:ascii="宋体" w:hAnsi="宋体" w:cs="宋体"/>
          <w:szCs w:val="21"/>
        </w:rPr>
      </w:pPr>
      <w:r>
        <w:rPr>
          <w:rFonts w:hint="eastAsia" w:ascii="宋体" w:hAnsi="宋体" w:cs="宋体"/>
          <w:szCs w:val="21"/>
        </w:rPr>
        <w:t>5）客户端可开放学生自由注册功能，注册后立即生效或教师审核后生效两种方式，注册生效后学生即可在客户端登录。</w:t>
      </w:r>
    </w:p>
    <w:p w14:paraId="04E8F49F">
      <w:pPr>
        <w:adjustRightInd w:val="0"/>
        <w:snapToGrid w:val="0"/>
        <w:spacing w:line="300" w:lineRule="auto"/>
        <w:ind w:firstLine="420" w:firstLineChars="200"/>
        <w:rPr>
          <w:rFonts w:ascii="宋体" w:hAnsi="宋体" w:cs="宋体"/>
          <w:szCs w:val="21"/>
        </w:rPr>
      </w:pPr>
      <w:r>
        <w:rPr>
          <w:rFonts w:hint="eastAsia" w:ascii="宋体" w:hAnsi="宋体" w:cs="宋体"/>
          <w:szCs w:val="21"/>
        </w:rPr>
        <w:t>▲6）支持VPN方式访问系统，包括但不局限于练习、考试、组卷等操作。</w:t>
      </w:r>
    </w:p>
    <w:p w14:paraId="31DEA561">
      <w:pPr>
        <w:adjustRightInd w:val="0"/>
        <w:snapToGrid w:val="0"/>
        <w:spacing w:line="300" w:lineRule="auto"/>
        <w:ind w:firstLine="422" w:firstLineChars="200"/>
        <w:rPr>
          <w:rFonts w:ascii="宋体" w:hAnsi="宋体" w:cs="宋体"/>
          <w:szCs w:val="21"/>
        </w:rPr>
      </w:pPr>
      <w:r>
        <w:rPr>
          <w:rFonts w:hint="eastAsia" w:ascii="宋体" w:hAnsi="宋体" w:cs="宋体"/>
          <w:b/>
          <w:bCs/>
          <w:szCs w:val="21"/>
        </w:rPr>
        <w:t>1.6.平台成绩管理功能</w:t>
      </w:r>
    </w:p>
    <w:p w14:paraId="54AAB9D2">
      <w:pPr>
        <w:adjustRightInd w:val="0"/>
        <w:snapToGrid w:val="0"/>
        <w:spacing w:line="300" w:lineRule="auto"/>
        <w:ind w:firstLine="420" w:firstLineChars="200"/>
        <w:rPr>
          <w:rFonts w:ascii="宋体" w:hAnsi="宋体" w:cs="宋体"/>
          <w:szCs w:val="21"/>
        </w:rPr>
      </w:pPr>
      <w:r>
        <w:rPr>
          <w:rFonts w:hint="eastAsia" w:ascii="宋体" w:hAnsi="宋体" w:cs="宋体"/>
          <w:szCs w:val="21"/>
        </w:rPr>
        <w:t>1）能方便对学生成绩进行管理，对考试成绩等数据进行汇总、统计分析，诸如计算平均分、方差、各分数段的比例等，并能自动生成和输出报表。</w:t>
      </w:r>
    </w:p>
    <w:p w14:paraId="49B53DAF">
      <w:pPr>
        <w:adjustRightInd w:val="0"/>
        <w:snapToGrid w:val="0"/>
        <w:spacing w:line="300" w:lineRule="auto"/>
        <w:ind w:firstLine="420" w:firstLineChars="200"/>
        <w:rPr>
          <w:rFonts w:ascii="宋体" w:hAnsi="宋体" w:cs="宋体"/>
          <w:szCs w:val="21"/>
        </w:rPr>
      </w:pPr>
      <w:r>
        <w:rPr>
          <w:rFonts w:hint="eastAsia" w:ascii="宋体" w:hAnsi="宋体" w:cs="宋体"/>
          <w:szCs w:val="21"/>
        </w:rPr>
        <w:t>2）能将平时作业、期中、期末考试成绩按比例自动计算统计，将平时成绩导出，作为总成绩的一部分。</w:t>
      </w:r>
    </w:p>
    <w:p w14:paraId="75A22E62">
      <w:pPr>
        <w:adjustRightInd w:val="0"/>
        <w:snapToGrid w:val="0"/>
        <w:spacing w:line="300" w:lineRule="auto"/>
        <w:ind w:firstLine="420" w:firstLineChars="200"/>
        <w:rPr>
          <w:rFonts w:ascii="宋体" w:hAnsi="宋体" w:cs="宋体"/>
          <w:szCs w:val="21"/>
        </w:rPr>
      </w:pPr>
      <w:r>
        <w:rPr>
          <w:rFonts w:hint="eastAsia" w:ascii="宋体" w:hAnsi="宋体" w:cs="宋体"/>
          <w:szCs w:val="21"/>
        </w:rPr>
        <w:t>3）能对试卷进行分析，得出学生对知识点的掌握情况，以便改进教学方法、教学重点等。</w:t>
      </w:r>
    </w:p>
    <w:p w14:paraId="5936F1D9">
      <w:pPr>
        <w:adjustRightInd w:val="0"/>
        <w:snapToGrid w:val="0"/>
        <w:spacing w:line="300" w:lineRule="auto"/>
        <w:ind w:firstLine="420" w:firstLineChars="200"/>
        <w:rPr>
          <w:rFonts w:ascii="宋体" w:hAnsi="宋体" w:cs="宋体"/>
          <w:szCs w:val="21"/>
        </w:rPr>
      </w:pPr>
      <w:r>
        <w:rPr>
          <w:rFonts w:hint="eastAsia" w:ascii="宋体" w:hAnsi="宋体" w:cs="宋体"/>
          <w:szCs w:val="21"/>
        </w:rPr>
        <w:t>▲4）对于某个课程，教师可以设置“合格”条件：参加多少个模块的考试，各个模块的考试次数，各次考试的分数条件等；对于达到“合格”条件的学生，系统给出判定结果或成绩查询结果或出具一个证书。</w:t>
      </w:r>
    </w:p>
    <w:p w14:paraId="6D35B35C">
      <w:pPr>
        <w:adjustRightInd w:val="0"/>
        <w:snapToGrid w:val="0"/>
        <w:spacing w:line="300" w:lineRule="auto"/>
        <w:ind w:firstLine="446" w:firstLineChars="200"/>
        <w:rPr>
          <w:rFonts w:ascii="宋体" w:hAnsi="宋体" w:cs="宋体"/>
          <w:szCs w:val="21"/>
        </w:rPr>
      </w:pPr>
      <w:r>
        <w:rPr>
          <w:rFonts w:hint="eastAsia" w:ascii="宋体" w:hAnsi="宋体" w:cs="宋体"/>
          <w:b/>
          <w:spacing w:val="6"/>
          <w:szCs w:val="21"/>
        </w:rPr>
        <w:t>★</w:t>
      </w:r>
      <w:r>
        <w:rPr>
          <w:rFonts w:hint="eastAsia" w:ascii="宋体" w:hAnsi="宋体" w:cs="宋体"/>
          <w:szCs w:val="21"/>
        </w:rPr>
        <w:t>5）支持多方案参数合并：能将多个作业模式、考试模式下的成绩按照一定比例输出，从而形成一个综合成绩。</w:t>
      </w:r>
    </w:p>
    <w:p w14:paraId="1CC7EDDF">
      <w:pPr>
        <w:adjustRightInd w:val="0"/>
        <w:snapToGrid w:val="0"/>
        <w:spacing w:line="300" w:lineRule="auto"/>
        <w:ind w:firstLine="446" w:firstLineChars="200"/>
        <w:rPr>
          <w:rFonts w:ascii="宋体" w:hAnsi="宋体" w:cs="宋体"/>
          <w:szCs w:val="21"/>
        </w:rPr>
      </w:pPr>
      <w:r>
        <w:rPr>
          <w:rFonts w:hint="eastAsia" w:ascii="宋体" w:hAnsi="宋体" w:cs="宋体"/>
          <w:b/>
          <w:spacing w:val="6"/>
          <w:szCs w:val="21"/>
        </w:rPr>
        <w:t>★</w:t>
      </w:r>
      <w:r>
        <w:rPr>
          <w:rFonts w:hint="eastAsia" w:ascii="宋体" w:hAnsi="宋体" w:cs="宋体"/>
          <w:szCs w:val="21"/>
        </w:rPr>
        <w:t>6）作业模式下，学生成绩可设置保留最高成绩或最后一次所答成绩。</w:t>
      </w:r>
    </w:p>
    <w:p w14:paraId="61075BCF">
      <w:pPr>
        <w:pStyle w:val="10"/>
        <w:shd w:val="clear" w:color="auto" w:fill="FFFFFF"/>
        <w:adjustRightInd w:val="0"/>
        <w:snapToGrid w:val="0"/>
        <w:spacing w:before="0" w:beforeAutospacing="0" w:after="0" w:afterAutospacing="0" w:line="300" w:lineRule="auto"/>
        <w:ind w:firstLine="446" w:firstLineChars="200"/>
        <w:rPr>
          <w:rFonts w:ascii="宋体" w:hAnsi="宋体" w:eastAsia="宋体" w:cs="宋体"/>
          <w:b/>
          <w:spacing w:val="6"/>
          <w:sz w:val="21"/>
          <w:szCs w:val="21"/>
        </w:rPr>
      </w:pPr>
      <w:r>
        <w:rPr>
          <w:rFonts w:hint="eastAsia" w:ascii="宋体" w:hAnsi="宋体" w:eastAsia="宋体" w:cs="宋体"/>
          <w:b/>
          <w:spacing w:val="6"/>
          <w:sz w:val="21"/>
          <w:szCs w:val="21"/>
        </w:rPr>
        <w:t>1.7.平台拓展性能</w:t>
      </w:r>
    </w:p>
    <w:p w14:paraId="65A7F914">
      <w:pPr>
        <w:spacing w:line="300" w:lineRule="auto"/>
        <w:ind w:firstLine="420" w:firstLineChars="200"/>
        <w:rPr>
          <w:rFonts w:ascii="宋体" w:hAnsi="宋体" w:cs="宋体"/>
          <w:szCs w:val="21"/>
        </w:rPr>
      </w:pPr>
      <w:r>
        <w:rPr>
          <w:rFonts w:hint="eastAsia" w:ascii="宋体" w:hAnsi="宋体" w:cs="宋体"/>
          <w:szCs w:val="21"/>
        </w:rPr>
        <w:t>▲1）科目拓展。除能够满足当前建设需要，还能够满足未来扩展需要（支持Raptor、AI、VB.NET</w:t>
      </w:r>
      <w:r>
        <w:rPr>
          <w:rFonts w:hint="eastAsia" w:ascii="宋体" w:hAnsi="宋体" w:cs="宋体"/>
          <w:szCs w:val="21"/>
          <w:lang w:val="zh-CN"/>
        </w:rPr>
        <w:t>、</w:t>
      </w:r>
      <w:r>
        <w:rPr>
          <w:rFonts w:hint="eastAsia" w:ascii="宋体" w:hAnsi="宋体" w:cs="宋体"/>
          <w:szCs w:val="21"/>
        </w:rPr>
        <w:t>SQL SERVER2005</w:t>
      </w:r>
      <w:r>
        <w:rPr>
          <w:rFonts w:hint="eastAsia" w:ascii="宋体" w:hAnsi="宋体" w:cs="宋体"/>
          <w:szCs w:val="21"/>
          <w:lang w:val="zh-CN"/>
        </w:rPr>
        <w:t>及以上</w:t>
      </w:r>
      <w:r>
        <w:rPr>
          <w:rFonts w:hint="eastAsia" w:ascii="宋体" w:hAnsi="宋体" w:cs="宋体"/>
          <w:szCs w:val="21"/>
        </w:rPr>
        <w:t>）；除能够满足计算机相关课程需要，也能够满足非计算机课程需要（如思政两课、健康教育、军事理论、大学外语类（包括小语种及听力），以及相关通识课、专业课等），便于学校后期课程扩充，并有现实案例支撑（能够提供多课程用户报告）。</w:t>
      </w:r>
    </w:p>
    <w:p w14:paraId="46DFF762">
      <w:pPr>
        <w:spacing w:line="300" w:lineRule="auto"/>
        <w:ind w:firstLine="420" w:firstLineChars="200"/>
        <w:rPr>
          <w:rFonts w:ascii="宋体" w:hAnsi="宋体" w:cs="宋体"/>
          <w:szCs w:val="21"/>
        </w:rPr>
      </w:pPr>
      <w:r>
        <w:rPr>
          <w:rFonts w:hint="eastAsia" w:ascii="宋体" w:hAnsi="宋体" w:cs="宋体"/>
          <w:szCs w:val="21"/>
        </w:rPr>
        <w:t>★2）题型拓展：平台能够支持配对题、简答题、综合题、分析题、完形填空题、词汇语法题、阅读理解题、选词填空题、快速阅读等题型，试题中可以插入数学公式、物理公式、化学公式，完全支持OFFICE上的公式编辑器，支持图文混排，同时支持增加视频、音频等多媒体格式试题。</w:t>
      </w:r>
    </w:p>
    <w:p w14:paraId="4BD0E645">
      <w:pPr>
        <w:spacing w:line="300" w:lineRule="auto"/>
        <w:ind w:firstLine="420" w:firstLineChars="200"/>
        <w:rPr>
          <w:rFonts w:ascii="宋体" w:hAnsi="宋体" w:cs="宋体"/>
          <w:szCs w:val="21"/>
        </w:rPr>
      </w:pPr>
      <w:r>
        <w:rPr>
          <w:rFonts w:hint="eastAsia" w:ascii="宋体" w:hAnsi="宋体" w:cs="宋体"/>
          <w:szCs w:val="21"/>
        </w:rPr>
        <w:t>▲3）功能拓展：能够支持远程考试，能够支持移动端（各大应用市场可以下载）。</w:t>
      </w:r>
    </w:p>
    <w:p w14:paraId="4A8EBDDC">
      <w:pPr>
        <w:pStyle w:val="10"/>
        <w:spacing w:before="0" w:beforeAutospacing="0" w:after="0" w:afterAutospacing="0" w:line="300" w:lineRule="auto"/>
        <w:ind w:firstLine="446" w:firstLineChars="200"/>
        <w:rPr>
          <w:rFonts w:ascii="宋体" w:hAnsi="宋体" w:eastAsia="宋体" w:cs="宋体"/>
          <w:b/>
          <w:sz w:val="21"/>
          <w:szCs w:val="21"/>
        </w:rPr>
      </w:pPr>
      <w:r>
        <w:rPr>
          <w:rFonts w:hint="eastAsia" w:ascii="宋体" w:hAnsi="宋体" w:eastAsia="宋体" w:cs="宋体"/>
          <w:b/>
          <w:spacing w:val="6"/>
          <w:sz w:val="21"/>
          <w:szCs w:val="21"/>
        </w:rPr>
        <w:t>1.8.</w:t>
      </w:r>
      <w:r>
        <w:rPr>
          <w:rFonts w:hint="eastAsia" w:ascii="宋体" w:hAnsi="宋体" w:eastAsia="宋体" w:cs="宋体"/>
          <w:b/>
          <w:sz w:val="21"/>
          <w:szCs w:val="21"/>
        </w:rPr>
        <w:t>多课程及客户端并发能力</w:t>
      </w:r>
    </w:p>
    <w:p w14:paraId="4EAF1BED">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能提供江苏省内及省外高校</w:t>
      </w:r>
      <w:r>
        <w:rPr>
          <w:rFonts w:ascii="宋体" w:hAnsi="宋体" w:eastAsia="宋体" w:cs="宋体"/>
          <w:color w:val="000000"/>
          <w:sz w:val="21"/>
          <w:szCs w:val="21"/>
        </w:rPr>
        <w:t>5</w:t>
      </w:r>
      <w:r>
        <w:rPr>
          <w:rFonts w:hint="eastAsia" w:ascii="宋体" w:hAnsi="宋体" w:eastAsia="宋体" w:cs="宋体"/>
          <w:color w:val="000000"/>
          <w:sz w:val="21"/>
          <w:szCs w:val="21"/>
        </w:rPr>
        <w:t>家以上大并发数使用报告（须有用户盖章，江苏省内不少于</w:t>
      </w:r>
      <w:r>
        <w:rPr>
          <w:rFonts w:ascii="宋体" w:hAnsi="宋体" w:eastAsia="宋体" w:cs="宋体"/>
          <w:color w:val="000000"/>
          <w:sz w:val="21"/>
          <w:szCs w:val="21"/>
        </w:rPr>
        <w:t>2</w:t>
      </w:r>
      <w:r>
        <w:rPr>
          <w:rFonts w:hint="eastAsia" w:ascii="宋体" w:hAnsi="宋体" w:eastAsia="宋体" w:cs="宋体"/>
          <w:color w:val="000000"/>
          <w:sz w:val="21"/>
          <w:szCs w:val="21"/>
        </w:rPr>
        <w:t>家），提供其他院校使用制造商考核平台</w:t>
      </w:r>
      <w:r>
        <w:rPr>
          <w:rFonts w:ascii="宋体" w:hAnsi="宋体" w:eastAsia="宋体" w:cs="宋体"/>
          <w:color w:val="000000"/>
          <w:sz w:val="21"/>
          <w:szCs w:val="21"/>
        </w:rPr>
        <w:t>2</w:t>
      </w:r>
      <w:r>
        <w:rPr>
          <w:rFonts w:hint="eastAsia" w:ascii="宋体" w:hAnsi="宋体" w:eastAsia="宋体" w:cs="宋体"/>
          <w:color w:val="000000"/>
          <w:sz w:val="21"/>
          <w:szCs w:val="21"/>
        </w:rPr>
        <w:t>0门课程以上使用报告证明，提供客户端最大并发数能达1</w:t>
      </w:r>
      <w:r>
        <w:rPr>
          <w:rFonts w:ascii="宋体" w:hAnsi="宋体" w:eastAsia="宋体" w:cs="宋体"/>
          <w:color w:val="000000"/>
          <w:sz w:val="21"/>
          <w:szCs w:val="21"/>
        </w:rPr>
        <w:t>0</w:t>
      </w:r>
      <w:r>
        <w:rPr>
          <w:rFonts w:hint="eastAsia" w:ascii="宋体" w:hAnsi="宋体" w:eastAsia="宋体" w:cs="宋体"/>
          <w:color w:val="000000"/>
          <w:sz w:val="21"/>
          <w:szCs w:val="21"/>
        </w:rPr>
        <w:t xml:space="preserve">00人以上使用报告证明。 </w:t>
      </w:r>
    </w:p>
    <w:p w14:paraId="716F6BF2">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2）后续我校视需要，可以提供其他10科左右课程模块资源包试用，诸如C语言、JAVA、大学英语、思政课程等（试用期一年）。</w:t>
      </w:r>
    </w:p>
    <w:p w14:paraId="0D6D7DB9">
      <w:pPr>
        <w:pStyle w:val="10"/>
        <w:spacing w:before="0" w:beforeAutospacing="0" w:after="0" w:afterAutospacing="0" w:line="300" w:lineRule="auto"/>
        <w:ind w:firstLine="482" w:firstLineChars="200"/>
        <w:rPr>
          <w:rFonts w:ascii="宋体" w:hAnsi="宋体" w:eastAsia="宋体" w:cs="宋体"/>
          <w:b/>
          <w:bCs/>
          <w:color w:val="000000"/>
        </w:rPr>
      </w:pPr>
      <w:r>
        <w:rPr>
          <w:rFonts w:hint="eastAsia" w:ascii="宋体" w:hAnsi="宋体" w:eastAsia="宋体" w:cs="宋体"/>
          <w:b/>
          <w:bCs/>
          <w:color w:val="000000"/>
        </w:rPr>
        <w:t>★2.MS Office2016高级应用课程模块功能要求</w:t>
      </w:r>
    </w:p>
    <w:p w14:paraId="207D5B71">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1）要求题型支持：单选、多选、填空、判断、附加题、文件操作、个性化、网络、系统设置、时间和语言、word文字、Excel表格、PPT演示文稿等多种题型，且以上题型并完全实现自动判分。</w:t>
      </w:r>
    </w:p>
    <w:p w14:paraId="331F45A6">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2）满足国家等级考试二级 Office2016应用操作的考试考核要求。</w:t>
      </w:r>
    </w:p>
    <w:p w14:paraId="2CE34794">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3）免费提供最新Office2016操作题资源给学校使用，所有题型完全实现自动判分。</w:t>
      </w:r>
    </w:p>
    <w:p w14:paraId="121BDDCE">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4）要求试题中可以插入数学公式、物理公式、化学公式，完全支持OFFICE上的公式编辑器，支持图文混排，同时支持增加视频、听力等多媒体格式试题。</w:t>
      </w:r>
    </w:p>
    <w:p w14:paraId="44A64AE4">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5）免费提供现成的题库，题库完全开放可自由添加修改。</w:t>
      </w:r>
    </w:p>
    <w:p w14:paraId="674FEA79">
      <w:pPr>
        <w:pStyle w:val="10"/>
        <w:spacing w:before="0" w:beforeAutospacing="0" w:after="0" w:afterAutospacing="0" w:line="300" w:lineRule="auto"/>
        <w:ind w:firstLine="482" w:firstLineChars="200"/>
        <w:rPr>
          <w:rFonts w:ascii="宋体" w:hAnsi="宋体" w:eastAsia="宋体" w:cs="宋体"/>
          <w:b/>
          <w:bCs/>
          <w:color w:val="000000"/>
        </w:rPr>
      </w:pPr>
      <w:r>
        <w:rPr>
          <w:rFonts w:hint="eastAsia" w:ascii="宋体" w:hAnsi="宋体" w:eastAsia="宋体" w:cs="宋体"/>
          <w:b/>
          <w:bCs/>
          <w:color w:val="000000"/>
        </w:rPr>
        <w:t>★3.Python课程模块功能要求</w:t>
      </w:r>
    </w:p>
    <w:p w14:paraId="5F1DA71C">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1）Python语言程序设计科目题型支持：单选、多选、填空、判断、程序设计、程序填空、程序改错、结果导向编程等题型。上述题型完全自动判分。</w:t>
      </w:r>
    </w:p>
    <w:p w14:paraId="1878673D">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2）客户机答题Python调用环境支IDLE(python3.x)、IDLE(python2.x)、Anaconda3（Jupyter Notebook、Spyder）环境，满足日常自动测评评分。</w:t>
      </w:r>
    </w:p>
    <w:p w14:paraId="2BBFB832">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3）Python程序设计题，支持关键代码、运行通过、结果检测三个模块按照设定比例匹配判分。</w:t>
      </w:r>
    </w:p>
    <w:p w14:paraId="07CE7736">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4）Python结果导向编程题录入支持设置标准答案和多组输入；每组输入支持设置分数、输入类型可选单行、多行字符串和文件；实现程序功能的完整性校验。</w:t>
      </w:r>
    </w:p>
    <w:p w14:paraId="2ECDB150">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5）Python结果导向编程题，实现多组输入、输出验证，学生可自由编写程序作答，不受任何条件限制。</w:t>
      </w:r>
    </w:p>
    <w:p w14:paraId="16959AC4">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6）免费提供现成的题库，题库完全开放可自由添加修改。</w:t>
      </w:r>
    </w:p>
    <w:p w14:paraId="12D836A6">
      <w:pPr>
        <w:spacing w:line="300" w:lineRule="auto"/>
        <w:ind w:firstLine="482" w:firstLineChars="200"/>
        <w:rPr>
          <w:rStyle w:val="21"/>
          <w:rFonts w:cs="宋体"/>
          <w:b/>
        </w:rPr>
      </w:pPr>
      <w:r>
        <w:rPr>
          <w:rFonts w:hint="eastAsia" w:ascii="宋体" w:hAnsi="宋体" w:cs="宋体"/>
          <w:b/>
          <w:color w:val="000000"/>
          <w:sz w:val="24"/>
        </w:rPr>
        <w:t>4.其他相关要求</w:t>
      </w:r>
    </w:p>
    <w:p w14:paraId="75C8B53A">
      <w:pPr>
        <w:pStyle w:val="10"/>
        <w:adjustRightInd w:val="0"/>
        <w:snapToGrid w:val="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1）产品保障：须有著作权。</w:t>
      </w:r>
    </w:p>
    <w:p w14:paraId="7909E0CF">
      <w:pPr>
        <w:pStyle w:val="1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软件升级及服务保障：要求公司有稳定的技术研发及服务团队，能够保证软件的后续升级及服务，并且公司每年有新升级版本推出，3年内提供免费升级及服务（升级项目包括平台及资源的升级）（提供承诺书）。</w:t>
      </w:r>
    </w:p>
    <w:p w14:paraId="028F2596">
      <w:pPr>
        <w:pStyle w:val="10"/>
        <w:adjustRightInd w:val="0"/>
        <w:snapToGrid w:val="0"/>
        <w:spacing w:before="0" w:beforeAutospacing="0" w:after="0" w:afterAutospacing="0" w:line="300" w:lineRule="auto"/>
        <w:ind w:firstLine="482" w:firstLineChars="200"/>
        <w:rPr>
          <w:rFonts w:ascii="宋体" w:hAnsi="宋体" w:eastAsia="宋体" w:cs="宋体"/>
          <w:b/>
          <w:bCs/>
          <w:szCs w:val="21"/>
        </w:rPr>
      </w:pPr>
      <w:r>
        <w:rPr>
          <w:rFonts w:hint="eastAsia" w:ascii="宋体" w:hAnsi="宋体" w:eastAsia="宋体" w:cs="宋体"/>
          <w:b/>
          <w:bCs/>
          <w:szCs w:val="21"/>
        </w:rPr>
        <w:t>备注1.以上标★的为核心参数指标，要求投标人必须完全响应，如未全部响应者，其投标将被作为无效投标；▲为重要参数指标，允许投标人有部分不响应，但要扣分。</w:t>
      </w:r>
    </w:p>
    <w:p w14:paraId="46ACDD87">
      <w:pPr>
        <w:spacing w:line="300" w:lineRule="auto"/>
        <w:ind w:firstLine="482" w:firstLineChars="200"/>
        <w:rPr>
          <w:rFonts w:ascii="宋体" w:hAnsi="宋体" w:cs="宋体"/>
          <w:b/>
          <w:bCs/>
          <w:sz w:val="24"/>
        </w:rPr>
      </w:pPr>
      <w:r>
        <w:rPr>
          <w:rFonts w:hint="eastAsia" w:ascii="宋体" w:hAnsi="宋体" w:cs="宋体"/>
          <w:b/>
          <w:bCs/>
          <w:sz w:val="24"/>
        </w:rPr>
        <w:t>六、</w:t>
      </w:r>
      <w:r>
        <w:rPr>
          <w:rFonts w:hint="eastAsia" w:ascii="宋体" w:hAnsi="宋体" w:cs="宋体"/>
          <w:b/>
          <w:sz w:val="24"/>
        </w:rPr>
        <w:t>安装及售后服务要求</w:t>
      </w:r>
    </w:p>
    <w:p w14:paraId="3AB2B28D">
      <w:pPr>
        <w:pStyle w:val="10"/>
        <w:adjustRightInd w:val="0"/>
        <w:snapToGrid w:val="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kern w:val="2"/>
          <w:sz w:val="21"/>
          <w:szCs w:val="21"/>
        </w:rPr>
        <w:t>1</w:t>
      </w:r>
      <w:r>
        <w:rPr>
          <w:rFonts w:ascii="宋体" w:hAnsi="宋体" w:eastAsia="宋体" w:cs="宋体"/>
          <w:kern w:val="2"/>
          <w:sz w:val="21"/>
          <w:szCs w:val="21"/>
        </w:rPr>
        <w:t>.</w:t>
      </w:r>
      <w:r>
        <w:rPr>
          <w:rFonts w:hint="eastAsia" w:ascii="宋体" w:hAnsi="宋体" w:eastAsia="宋体" w:cs="宋体"/>
          <w:kern w:val="2"/>
          <w:sz w:val="21"/>
          <w:szCs w:val="21"/>
        </w:rPr>
        <w:t>提供现场免费安装、调试设备，进行</w:t>
      </w:r>
      <w:r>
        <w:rPr>
          <w:rFonts w:hint="eastAsia" w:ascii="宋体" w:hAnsi="宋体" w:eastAsia="宋体" w:cs="宋体"/>
          <w:color w:val="000000"/>
          <w:sz w:val="21"/>
          <w:szCs w:val="21"/>
        </w:rPr>
        <w:t>操作试验、培训，直至运行正常，并且提供完善的操作说明及服务培训方案。</w:t>
      </w:r>
    </w:p>
    <w:p w14:paraId="4B31504A">
      <w:pPr>
        <w:pStyle w:val="10"/>
        <w:adjustRightInd w:val="0"/>
        <w:snapToGrid w:val="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w:t>
      </w:r>
      <w:r>
        <w:rPr>
          <w:rFonts w:ascii="宋体" w:hAnsi="宋体" w:eastAsia="宋体" w:cs="宋体"/>
          <w:color w:val="000000"/>
          <w:sz w:val="21"/>
          <w:szCs w:val="21"/>
        </w:rPr>
        <w:t>.</w:t>
      </w:r>
      <w:r>
        <w:rPr>
          <w:rFonts w:hint="eastAsia" w:ascii="宋体" w:hAnsi="宋体" w:eastAsia="宋体" w:cs="宋体"/>
          <w:color w:val="000000"/>
          <w:sz w:val="21"/>
          <w:szCs w:val="21"/>
        </w:rPr>
        <w:t>所购课程首次使用考试系统进行考试时，需安排技术人员入校进行技术保障。</w:t>
      </w:r>
    </w:p>
    <w:p w14:paraId="31B07859">
      <w:pPr>
        <w:pStyle w:val="10"/>
        <w:adjustRightInd w:val="0"/>
        <w:snapToGrid w:val="0"/>
        <w:spacing w:before="0" w:beforeAutospacing="0" w:after="0" w:afterAutospacing="0" w:line="30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3.软件服务内容包括技术支持服务、问题修复服务、版本与维护服务等。</w:t>
      </w:r>
    </w:p>
    <w:p w14:paraId="0EAF9608">
      <w:pPr>
        <w:pStyle w:val="10"/>
        <w:adjustRightInd w:val="0"/>
        <w:snapToGrid w:val="0"/>
        <w:spacing w:before="0" w:beforeAutospacing="0" w:after="0" w:afterAutospacing="0" w:line="300" w:lineRule="auto"/>
        <w:ind w:firstLine="420" w:firstLineChars="200"/>
        <w:rPr>
          <w:rFonts w:ascii="宋体" w:hAnsi="宋体" w:eastAsia="宋体" w:cs="宋体"/>
          <w:color w:val="auto"/>
          <w:kern w:val="2"/>
          <w:sz w:val="21"/>
          <w:szCs w:val="21"/>
        </w:rPr>
      </w:pPr>
      <w:r>
        <w:rPr>
          <w:rFonts w:ascii="宋体" w:hAnsi="宋体" w:eastAsia="宋体" w:cs="宋体"/>
          <w:color w:val="auto"/>
          <w:kern w:val="2"/>
          <w:sz w:val="21"/>
          <w:szCs w:val="21"/>
        </w:rPr>
        <w:t>4.服务响应：</w:t>
      </w:r>
    </w:p>
    <w:p w14:paraId="6AB31FA5">
      <w:pPr>
        <w:pStyle w:val="10"/>
        <w:adjustRightInd w:val="0"/>
        <w:snapToGrid w:val="0"/>
        <w:spacing w:before="0" w:beforeAutospacing="0" w:after="0" w:afterAutospacing="0" w:line="300" w:lineRule="auto"/>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w:t>
      </w:r>
      <w:r>
        <w:rPr>
          <w:rFonts w:ascii="宋体" w:hAnsi="宋体" w:eastAsia="宋体" w:cs="宋体"/>
          <w:color w:val="auto"/>
          <w:kern w:val="2"/>
          <w:sz w:val="21"/>
          <w:szCs w:val="21"/>
        </w:rPr>
        <w:t>1）乙方应提供7×24小时技术支持热线。对于导致系统完全不可用的重大故障，乙方应在接到甲方通知后15分钟内响应，2小时内提出解决方案，并尽最大努力在4小时内恢复系统基本功能。</w:t>
      </w:r>
    </w:p>
    <w:p w14:paraId="0FED7D24">
      <w:pPr>
        <w:pStyle w:val="10"/>
        <w:adjustRightInd w:val="0"/>
        <w:snapToGrid w:val="0"/>
        <w:spacing w:before="0" w:beforeAutospacing="0" w:after="0" w:afterAutospacing="0" w:line="300" w:lineRule="auto"/>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w:t>
      </w:r>
      <w:r>
        <w:rPr>
          <w:rFonts w:ascii="宋体" w:hAnsi="宋体" w:eastAsia="宋体" w:cs="宋体"/>
          <w:color w:val="auto"/>
          <w:kern w:val="2"/>
          <w:sz w:val="21"/>
          <w:szCs w:val="21"/>
        </w:rPr>
        <w:t>2）对于一般性故障，乙方应在2小时内响应，并在24小时内提供解决方案。</w:t>
      </w:r>
    </w:p>
    <w:p w14:paraId="3CD09F76">
      <w:pPr>
        <w:pStyle w:val="10"/>
        <w:adjustRightInd w:val="0"/>
        <w:snapToGrid w:val="0"/>
        <w:spacing w:before="0" w:beforeAutospacing="0" w:after="0" w:afterAutospacing="0" w:line="300" w:lineRule="auto"/>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w:t>
      </w:r>
      <w:r>
        <w:rPr>
          <w:rFonts w:ascii="宋体" w:hAnsi="宋体" w:eastAsia="宋体" w:cs="宋体"/>
          <w:color w:val="auto"/>
          <w:kern w:val="2"/>
          <w:sz w:val="21"/>
          <w:szCs w:val="21"/>
        </w:rPr>
        <w:t>3）本条款所述“响应”指乙方通过电话、邮件等方式与甲方取得联系，并开始实质性故障排查工作。</w:t>
      </w:r>
    </w:p>
    <w:p w14:paraId="4F24DC2D">
      <w:pPr>
        <w:adjustRightInd w:val="0"/>
        <w:snapToGrid w:val="0"/>
        <w:spacing w:line="300" w:lineRule="auto"/>
        <w:ind w:firstLine="482" w:firstLineChars="200"/>
        <w:rPr>
          <w:rFonts w:ascii="宋体" w:hAnsi="宋体" w:cs="宋体"/>
          <w:b/>
          <w:sz w:val="24"/>
        </w:rPr>
      </w:pPr>
      <w:r>
        <w:rPr>
          <w:rFonts w:hint="eastAsia" w:ascii="宋体" w:hAnsi="宋体" w:cs="宋体"/>
          <w:b/>
          <w:sz w:val="24"/>
        </w:rPr>
        <w:t>七、评标办法</w:t>
      </w:r>
    </w:p>
    <w:p w14:paraId="6BCA65ED">
      <w:pPr>
        <w:adjustRightInd w:val="0"/>
        <w:snapToGrid w:val="0"/>
        <w:spacing w:line="300" w:lineRule="auto"/>
        <w:ind w:firstLine="420" w:firstLineChars="200"/>
        <w:rPr>
          <w:rFonts w:ascii="宋体" w:hAnsi="宋体" w:cs="宋体"/>
          <w:szCs w:val="21"/>
        </w:rPr>
      </w:pPr>
      <w:r>
        <w:rPr>
          <w:rFonts w:hint="eastAsia" w:ascii="宋体" w:hAnsi="宋体" w:cs="宋体"/>
          <w:szCs w:val="21"/>
        </w:rPr>
        <w:t>1.投标文件的审查：</w:t>
      </w:r>
    </w:p>
    <w:p w14:paraId="40455AB8">
      <w:pPr>
        <w:adjustRightInd w:val="0"/>
        <w:snapToGrid w:val="0"/>
        <w:spacing w:line="300" w:lineRule="auto"/>
        <w:ind w:firstLine="420" w:firstLineChars="200"/>
        <w:rPr>
          <w:rFonts w:ascii="宋体" w:hAnsi="宋体" w:cs="宋体"/>
          <w:szCs w:val="21"/>
        </w:rPr>
      </w:pPr>
      <w:r>
        <w:rPr>
          <w:rFonts w:hint="eastAsia" w:ascii="宋体" w:hAnsi="宋体" w:cs="宋体"/>
          <w:szCs w:val="21"/>
        </w:rPr>
        <w:t>（1）投标文件是否满足招标文件的资质要求。</w:t>
      </w:r>
    </w:p>
    <w:p w14:paraId="7BF5470C">
      <w:pPr>
        <w:adjustRightInd w:val="0"/>
        <w:snapToGrid w:val="0"/>
        <w:spacing w:line="300" w:lineRule="auto"/>
        <w:ind w:firstLine="420" w:firstLineChars="200"/>
        <w:rPr>
          <w:rFonts w:ascii="宋体" w:hAnsi="宋体" w:cs="宋体"/>
          <w:szCs w:val="21"/>
        </w:rPr>
      </w:pPr>
      <w:r>
        <w:rPr>
          <w:rFonts w:hint="eastAsia" w:ascii="宋体" w:hAnsi="宋体" w:cs="宋体"/>
          <w:szCs w:val="21"/>
        </w:rPr>
        <w:t>（2）投标文件在出现非实质性错误情况下，按下列原则处理：文字与图表不符时以文字为准；正本与副本不符时以正本为准；金额大写与小写不符时以大写为准；单价与总价不符时以单价为准。</w:t>
      </w:r>
    </w:p>
    <w:p w14:paraId="0827FA3B">
      <w:pPr>
        <w:adjustRightInd w:val="0"/>
        <w:snapToGrid w:val="0"/>
        <w:spacing w:line="300" w:lineRule="auto"/>
        <w:ind w:firstLine="420" w:firstLineChars="200"/>
        <w:rPr>
          <w:rFonts w:ascii="宋体" w:hAnsi="宋体" w:cs="宋体"/>
          <w:szCs w:val="21"/>
        </w:rPr>
      </w:pPr>
      <w:r>
        <w:rPr>
          <w:rFonts w:hint="eastAsia" w:ascii="宋体" w:hAnsi="宋体" w:cs="宋体"/>
          <w:szCs w:val="21"/>
        </w:rPr>
        <w:t>（3）评标小组可以对投标文件中含义不清楚或计算明显有错的投标人进行询标，但投标人不得修改文件实质性内容或超越询问范围答复。</w:t>
      </w:r>
    </w:p>
    <w:p w14:paraId="7106C277">
      <w:pPr>
        <w:adjustRightInd w:val="0"/>
        <w:snapToGrid w:val="0"/>
        <w:spacing w:line="300" w:lineRule="auto"/>
        <w:ind w:firstLine="420" w:firstLineChars="200"/>
        <w:rPr>
          <w:rFonts w:ascii="宋体" w:hAnsi="宋体" w:cs="宋体"/>
          <w:szCs w:val="21"/>
        </w:rPr>
      </w:pPr>
      <w:r>
        <w:rPr>
          <w:rFonts w:hint="eastAsia" w:ascii="宋体" w:hAnsi="宋体" w:cs="宋体"/>
          <w:szCs w:val="21"/>
        </w:rPr>
        <w:t>2.废标的判定：</w:t>
      </w:r>
    </w:p>
    <w:p w14:paraId="00A845C2">
      <w:pPr>
        <w:adjustRightInd w:val="0"/>
        <w:snapToGrid w:val="0"/>
        <w:spacing w:line="300" w:lineRule="auto"/>
        <w:ind w:firstLine="420" w:firstLineChars="200"/>
        <w:rPr>
          <w:rFonts w:ascii="宋体" w:hAnsi="宋体" w:cs="宋体"/>
          <w:szCs w:val="21"/>
        </w:rPr>
      </w:pPr>
      <w:r>
        <w:rPr>
          <w:rFonts w:hint="eastAsia" w:ascii="宋体" w:hAnsi="宋体" w:cs="宋体"/>
          <w:szCs w:val="21"/>
        </w:rPr>
        <w:t>有下列情况之一判为废标：</w:t>
      </w:r>
    </w:p>
    <w:p w14:paraId="4BCB19C1">
      <w:pPr>
        <w:adjustRightInd w:val="0"/>
        <w:snapToGrid w:val="0"/>
        <w:spacing w:line="300" w:lineRule="auto"/>
        <w:ind w:firstLine="420" w:firstLineChars="200"/>
        <w:rPr>
          <w:rFonts w:ascii="宋体" w:hAnsi="宋体" w:cs="宋体"/>
          <w:szCs w:val="21"/>
        </w:rPr>
      </w:pPr>
      <w:r>
        <w:rPr>
          <w:rFonts w:hint="eastAsia" w:ascii="宋体" w:hAnsi="宋体" w:cs="宋体"/>
          <w:szCs w:val="21"/>
        </w:rPr>
        <w:t>（1）以他人名义投标、串标、投标资料弄虚作假或对招标人行贿。投标人违法、违规行为一经查实，将列入我校采购供应商黑名单，不得参与我校的任何采购项目。</w:t>
      </w:r>
    </w:p>
    <w:p w14:paraId="79F58175">
      <w:pPr>
        <w:adjustRightInd w:val="0"/>
        <w:snapToGrid w:val="0"/>
        <w:spacing w:line="300" w:lineRule="auto"/>
        <w:ind w:firstLine="420" w:firstLineChars="200"/>
        <w:rPr>
          <w:rFonts w:ascii="宋体" w:hAnsi="宋体" w:cs="宋体"/>
          <w:szCs w:val="21"/>
        </w:rPr>
      </w:pPr>
      <w:r>
        <w:rPr>
          <w:rFonts w:hint="eastAsia" w:ascii="宋体" w:hAnsi="宋体" w:cs="宋体"/>
          <w:szCs w:val="21"/>
        </w:rPr>
        <w:t>（2）投标人资格不符合国家有关规定和招标文件要求。</w:t>
      </w:r>
    </w:p>
    <w:p w14:paraId="396E8348">
      <w:pPr>
        <w:adjustRightInd w:val="0"/>
        <w:snapToGrid w:val="0"/>
        <w:spacing w:line="300" w:lineRule="auto"/>
        <w:ind w:firstLine="420" w:firstLineChars="200"/>
        <w:rPr>
          <w:rFonts w:ascii="宋体" w:hAnsi="宋体" w:cs="宋体"/>
          <w:szCs w:val="21"/>
        </w:rPr>
      </w:pPr>
      <w:r>
        <w:rPr>
          <w:rFonts w:hint="eastAsia" w:ascii="宋体" w:hAnsi="宋体" w:cs="宋体"/>
          <w:szCs w:val="21"/>
        </w:rPr>
        <w:t>（3）对招标文件规定的实质性要求和条件未能做出响应。</w:t>
      </w:r>
    </w:p>
    <w:p w14:paraId="77ED2E9E">
      <w:pPr>
        <w:adjustRightInd w:val="0"/>
        <w:snapToGrid w:val="0"/>
        <w:spacing w:line="300" w:lineRule="auto"/>
        <w:ind w:firstLine="420" w:firstLineChars="200"/>
        <w:rPr>
          <w:rFonts w:ascii="宋体" w:hAnsi="宋体" w:cs="宋体"/>
          <w:szCs w:val="21"/>
        </w:rPr>
      </w:pPr>
      <w:r>
        <w:rPr>
          <w:rFonts w:hint="eastAsia" w:ascii="宋体" w:hAnsi="宋体" w:cs="宋体"/>
          <w:szCs w:val="21"/>
        </w:rPr>
        <w:t>（4）投标文件未经法人签署或加盖企业印章。</w:t>
      </w:r>
    </w:p>
    <w:p w14:paraId="516ADCE7">
      <w:pPr>
        <w:adjustRightInd w:val="0"/>
        <w:snapToGrid w:val="0"/>
        <w:spacing w:line="300" w:lineRule="auto"/>
        <w:ind w:firstLine="420" w:firstLineChars="200"/>
        <w:rPr>
          <w:rFonts w:ascii="宋体" w:hAnsi="宋体" w:cs="宋体"/>
          <w:szCs w:val="21"/>
        </w:rPr>
      </w:pPr>
      <w:r>
        <w:rPr>
          <w:rFonts w:hint="eastAsia" w:ascii="宋体" w:hAnsi="宋体" w:cs="宋体"/>
          <w:szCs w:val="21"/>
        </w:rPr>
        <w:t>（5）投标文件未按要求装袋、密封和标记。</w:t>
      </w:r>
    </w:p>
    <w:p w14:paraId="5418B8CC">
      <w:pPr>
        <w:adjustRightInd w:val="0"/>
        <w:snapToGrid w:val="0"/>
        <w:spacing w:line="300" w:lineRule="auto"/>
        <w:ind w:firstLine="420" w:firstLineChars="200"/>
        <w:rPr>
          <w:rFonts w:ascii="宋体" w:hAnsi="宋体" w:cs="宋体"/>
          <w:szCs w:val="21"/>
        </w:rPr>
      </w:pPr>
      <w:r>
        <w:rPr>
          <w:rFonts w:hint="eastAsia" w:ascii="宋体" w:hAnsi="宋体" w:cs="宋体"/>
          <w:szCs w:val="21"/>
        </w:rPr>
        <w:t>（6）附有招标人不可接受的条件。</w:t>
      </w:r>
    </w:p>
    <w:p w14:paraId="41FD4F63">
      <w:pPr>
        <w:adjustRightInd w:val="0"/>
        <w:snapToGrid w:val="0"/>
        <w:spacing w:line="300" w:lineRule="auto"/>
        <w:ind w:firstLine="420" w:firstLineChars="200"/>
        <w:rPr>
          <w:rFonts w:ascii="宋体" w:hAnsi="宋体" w:cs="宋体"/>
          <w:szCs w:val="21"/>
        </w:rPr>
      </w:pPr>
      <w:r>
        <w:rPr>
          <w:rFonts w:hint="eastAsia" w:ascii="宋体" w:hAnsi="宋体" w:cs="宋体"/>
          <w:szCs w:val="21"/>
        </w:rPr>
        <w:t>（7）投标报价高于项目预算的。</w:t>
      </w:r>
    </w:p>
    <w:p w14:paraId="1F6D9A4C">
      <w:pPr>
        <w:adjustRightInd w:val="0"/>
        <w:snapToGrid w:val="0"/>
        <w:spacing w:line="300" w:lineRule="auto"/>
        <w:ind w:firstLine="420" w:firstLineChars="200"/>
        <w:rPr>
          <w:rFonts w:ascii="宋体" w:hAnsi="宋体" w:cs="宋体"/>
          <w:szCs w:val="21"/>
        </w:rPr>
      </w:pPr>
      <w:r>
        <w:rPr>
          <w:rFonts w:hint="eastAsia" w:ascii="宋体" w:hAnsi="宋体" w:cs="宋体"/>
          <w:szCs w:val="21"/>
        </w:rPr>
        <w:t>（8）为恶意竞争，投标报价明显低于运营成本的。</w:t>
      </w:r>
    </w:p>
    <w:p w14:paraId="25DCA4F6">
      <w:pPr>
        <w:adjustRightInd w:val="0"/>
        <w:snapToGrid w:val="0"/>
        <w:spacing w:line="300" w:lineRule="auto"/>
        <w:ind w:firstLine="420" w:firstLineChars="200"/>
        <w:rPr>
          <w:rFonts w:ascii="宋体" w:hAnsi="宋体" w:cs="宋体"/>
          <w:szCs w:val="21"/>
        </w:rPr>
      </w:pPr>
      <w:r>
        <w:rPr>
          <w:rFonts w:hint="eastAsia" w:ascii="宋体" w:hAnsi="宋体" w:cs="宋体"/>
          <w:szCs w:val="21"/>
        </w:rPr>
        <w:t>3.评定中标候选人：本次招标采用综合评分法，本项目总分为100分，小数点后保留2位。在响应文件满足招标文件全部实质性要求且按评审因素的量化指标评审得分最高的供应商为成交候选供应商。得分相同的，按响应报价由低到高顺序排列。</w:t>
      </w:r>
    </w:p>
    <w:p w14:paraId="1970744E">
      <w:pPr>
        <w:adjustRightInd w:val="0"/>
        <w:snapToGrid w:val="0"/>
        <w:spacing w:line="300" w:lineRule="auto"/>
        <w:ind w:firstLine="420" w:firstLineChars="200"/>
        <w:rPr>
          <w:rFonts w:ascii="宋体" w:hAnsi="宋体" w:cs="宋体"/>
          <w:szCs w:val="21"/>
        </w:rPr>
      </w:pPr>
      <w:r>
        <w:rPr>
          <w:rFonts w:hint="eastAsia" w:ascii="宋体" w:hAnsi="宋体" w:cs="宋体"/>
          <w:szCs w:val="21"/>
        </w:rPr>
        <w:t>4.评分标准：（见附件</w:t>
      </w:r>
      <w:r>
        <w:rPr>
          <w:rFonts w:hint="eastAsia" w:ascii="宋体" w:hAnsi="宋体" w:cs="宋体"/>
          <w:szCs w:val="21"/>
          <w:lang w:val="en-US" w:eastAsia="zh-CN"/>
        </w:rPr>
        <w:t>四</w:t>
      </w:r>
      <w:r>
        <w:rPr>
          <w:rFonts w:hint="eastAsia" w:ascii="宋体" w:hAnsi="宋体" w:cs="宋体"/>
          <w:szCs w:val="21"/>
        </w:rPr>
        <w:t>）</w:t>
      </w:r>
    </w:p>
    <w:p w14:paraId="67AC88BD">
      <w:pPr>
        <w:adjustRightInd w:val="0"/>
        <w:snapToGrid w:val="0"/>
        <w:spacing w:line="300" w:lineRule="auto"/>
        <w:ind w:firstLine="482" w:firstLineChars="200"/>
        <w:rPr>
          <w:rFonts w:ascii="宋体" w:hAnsi="宋体" w:cs="宋体"/>
          <w:b/>
          <w:sz w:val="24"/>
        </w:rPr>
      </w:pPr>
      <w:r>
        <w:rPr>
          <w:rFonts w:hint="eastAsia" w:ascii="宋体" w:hAnsi="宋体" w:cs="宋体"/>
          <w:b/>
          <w:sz w:val="24"/>
        </w:rPr>
        <w:t>八、投标文件</w:t>
      </w:r>
    </w:p>
    <w:p w14:paraId="75363A16">
      <w:pPr>
        <w:adjustRightInd w:val="0"/>
        <w:snapToGrid w:val="0"/>
        <w:spacing w:line="300" w:lineRule="auto"/>
        <w:ind w:firstLine="420" w:firstLineChars="200"/>
        <w:rPr>
          <w:rFonts w:ascii="宋体" w:hAnsi="宋体" w:cs="宋体"/>
          <w:szCs w:val="21"/>
        </w:rPr>
      </w:pPr>
      <w:r>
        <w:rPr>
          <w:rFonts w:hint="eastAsia" w:ascii="宋体" w:hAnsi="宋体" w:cs="宋体"/>
          <w:szCs w:val="21"/>
        </w:rPr>
        <w:t>1.投标文件组成：</w:t>
      </w:r>
    </w:p>
    <w:p w14:paraId="198CA40F">
      <w:pPr>
        <w:adjustRightInd w:val="0"/>
        <w:snapToGrid w:val="0"/>
        <w:spacing w:line="300" w:lineRule="auto"/>
        <w:ind w:firstLine="420" w:firstLineChars="200"/>
        <w:rPr>
          <w:rFonts w:ascii="宋体" w:hAnsi="宋体" w:cs="宋体"/>
          <w:szCs w:val="21"/>
        </w:rPr>
      </w:pPr>
      <w:r>
        <w:rPr>
          <w:rFonts w:hint="eastAsia" w:ascii="宋体" w:hAnsi="宋体" w:cs="宋体"/>
          <w:szCs w:val="21"/>
        </w:rPr>
        <w:t>（1）投标报价函：投标人对招标文件的响应程度及投标报价表（见附件一、附件二）。</w:t>
      </w:r>
    </w:p>
    <w:p w14:paraId="25FD5414">
      <w:pPr>
        <w:adjustRightInd w:val="0"/>
        <w:snapToGrid w:val="0"/>
        <w:spacing w:line="300" w:lineRule="auto"/>
        <w:ind w:firstLine="420" w:firstLineChars="200"/>
        <w:rPr>
          <w:rFonts w:ascii="宋体" w:hAnsi="宋体" w:cs="宋体"/>
          <w:szCs w:val="21"/>
        </w:rPr>
      </w:pPr>
      <w:r>
        <w:rPr>
          <w:rFonts w:hint="eastAsia" w:ascii="宋体" w:hAnsi="宋体" w:cs="宋体"/>
          <w:szCs w:val="21"/>
        </w:rPr>
        <w:t>（2）资质审核、评分索引表：投标人依次列明与资质审核、评分项相对应的投标文件页码（见附件三、附件四）。</w:t>
      </w:r>
    </w:p>
    <w:p w14:paraId="24F2A896">
      <w:pPr>
        <w:pStyle w:val="2"/>
        <w:ind w:firstLine="420" w:firstLineChars="200"/>
      </w:pPr>
      <w:r>
        <w:rPr>
          <w:rFonts w:hint="eastAsia" w:ascii="宋体" w:hAnsi="宋体" w:cs="宋体"/>
          <w:szCs w:val="21"/>
        </w:rPr>
        <w:t>（3）技术条款偏离表：投标人依次列明对招标文件的技术条款响应程度（见附件五）</w:t>
      </w:r>
    </w:p>
    <w:p w14:paraId="3BAF9356">
      <w:pPr>
        <w:adjustRightInd w:val="0"/>
        <w:snapToGrid w:val="0"/>
        <w:spacing w:line="300" w:lineRule="auto"/>
        <w:ind w:firstLine="420" w:firstLineChars="200"/>
        <w:rPr>
          <w:rFonts w:ascii="宋体" w:hAnsi="宋体" w:cs="宋体"/>
          <w:szCs w:val="21"/>
        </w:rPr>
      </w:pPr>
      <w:r>
        <w:rPr>
          <w:rFonts w:hint="eastAsia" w:ascii="宋体" w:hAnsi="宋体" w:cs="宋体"/>
          <w:szCs w:val="21"/>
        </w:rPr>
        <w:t>（4）投标人资质证明：前述第三项投标人资质要求中需要的证明材料（提供复印件，原件备查）。</w:t>
      </w:r>
    </w:p>
    <w:p w14:paraId="3734658A">
      <w:pPr>
        <w:adjustRightInd w:val="0"/>
        <w:snapToGrid w:val="0"/>
        <w:spacing w:line="300" w:lineRule="auto"/>
        <w:ind w:firstLine="420" w:firstLineChars="200"/>
      </w:pPr>
      <w:r>
        <w:rPr>
          <w:rFonts w:hint="eastAsia" w:ascii="宋体" w:hAnsi="宋体" w:cs="宋体"/>
          <w:szCs w:val="21"/>
        </w:rPr>
        <w:t>（5）详细完善的实施方案、培训方案</w:t>
      </w:r>
      <w:r>
        <w:rPr>
          <w:rFonts w:hint="eastAsia" w:ascii="宋体" w:hAnsi="宋体" w:cs="宋体"/>
          <w:szCs w:val="21"/>
          <w:lang w:eastAsia="zh-CN"/>
        </w:rPr>
        <w:t>、</w:t>
      </w:r>
      <w:r>
        <w:rPr>
          <w:rFonts w:hint="eastAsia" w:ascii="宋体" w:hAnsi="宋体" w:cs="宋体"/>
          <w:szCs w:val="21"/>
        </w:rPr>
        <w:t>售后服务承诺</w:t>
      </w:r>
      <w:r>
        <w:rPr>
          <w:rFonts w:hint="eastAsia" w:ascii="宋体" w:hAnsi="宋体" w:cs="宋体"/>
          <w:szCs w:val="21"/>
          <w:lang w:eastAsia="zh-CN"/>
        </w:rPr>
        <w:t>、</w:t>
      </w:r>
      <w:r>
        <w:rPr>
          <w:rFonts w:hint="eastAsia" w:ascii="宋体" w:hAnsi="宋体" w:cs="宋体"/>
          <w:szCs w:val="21"/>
          <w:lang w:val="en-US" w:eastAsia="zh-CN"/>
        </w:rPr>
        <w:t>安全保障方案等</w:t>
      </w:r>
      <w:r>
        <w:rPr>
          <w:rFonts w:hint="eastAsia" w:ascii="宋体" w:hAnsi="宋体" w:cs="宋体"/>
          <w:szCs w:val="21"/>
        </w:rPr>
        <w:t>。</w:t>
      </w:r>
    </w:p>
    <w:p w14:paraId="7BB0C13F">
      <w:pPr>
        <w:adjustRightInd w:val="0"/>
        <w:snapToGrid w:val="0"/>
        <w:spacing w:line="300" w:lineRule="auto"/>
        <w:ind w:firstLine="420" w:firstLineChars="200"/>
        <w:rPr>
          <w:rFonts w:ascii="宋体" w:hAnsi="宋体" w:cs="宋体"/>
          <w:szCs w:val="21"/>
        </w:rPr>
      </w:pPr>
      <w:r>
        <w:rPr>
          <w:rFonts w:hint="eastAsia" w:ascii="宋体" w:hAnsi="宋体" w:cs="宋体"/>
          <w:szCs w:val="21"/>
        </w:rPr>
        <w:t>（6）投标人要求的其它说明和承诺的材料。</w:t>
      </w:r>
    </w:p>
    <w:p w14:paraId="582DF021">
      <w:pPr>
        <w:adjustRightInd w:val="0"/>
        <w:snapToGrid w:val="0"/>
        <w:spacing w:line="300" w:lineRule="auto"/>
        <w:ind w:firstLine="422" w:firstLineChars="200"/>
        <w:rPr>
          <w:rFonts w:ascii="宋体" w:hAnsi="宋体" w:cs="宋体"/>
          <w:b/>
          <w:bCs/>
          <w:szCs w:val="21"/>
        </w:rPr>
      </w:pPr>
      <w:r>
        <w:rPr>
          <w:rFonts w:hint="eastAsia" w:ascii="宋体" w:hAnsi="宋体" w:cs="宋体"/>
          <w:b/>
          <w:bCs/>
          <w:szCs w:val="21"/>
        </w:rPr>
        <w:t>投标人必须按照上述（1）-（6）顺序规范编制目录和投标文件，统一用A4纸打印，逐页编码，装订成册，若因编排混乱导致投标文件被误读，责任由投标人承担。</w:t>
      </w:r>
    </w:p>
    <w:p w14:paraId="2317B5DC">
      <w:pPr>
        <w:adjustRightInd w:val="0"/>
        <w:snapToGrid w:val="0"/>
        <w:spacing w:line="300" w:lineRule="auto"/>
        <w:ind w:firstLine="420" w:firstLineChars="200"/>
        <w:rPr>
          <w:rFonts w:ascii="宋体" w:hAnsi="宋体" w:cs="宋体"/>
          <w:szCs w:val="21"/>
        </w:rPr>
      </w:pPr>
      <w:r>
        <w:rPr>
          <w:rFonts w:hint="eastAsia" w:ascii="宋体" w:hAnsi="宋体" w:cs="宋体"/>
          <w:szCs w:val="21"/>
        </w:rPr>
        <w:t>所提供的材料均需加盖投标人公章；投标文件不应有涂改，必须修改时应有法人代表签字盖章。</w:t>
      </w:r>
    </w:p>
    <w:p w14:paraId="095D3098">
      <w:pPr>
        <w:adjustRightInd w:val="0"/>
        <w:snapToGrid w:val="0"/>
        <w:spacing w:line="300" w:lineRule="auto"/>
        <w:ind w:firstLine="420" w:firstLineChars="200"/>
        <w:rPr>
          <w:rFonts w:ascii="宋体" w:hAnsi="宋体" w:cs="宋体"/>
          <w:szCs w:val="21"/>
        </w:rPr>
      </w:pPr>
      <w:r>
        <w:rPr>
          <w:rFonts w:hint="eastAsia" w:ascii="宋体" w:hAnsi="宋体" w:cs="宋体"/>
          <w:szCs w:val="21"/>
        </w:rPr>
        <w:t>2.投标文件的封装和投递</w:t>
      </w:r>
    </w:p>
    <w:p w14:paraId="2D073494">
      <w:pPr>
        <w:adjustRightInd w:val="0"/>
        <w:snapToGrid w:val="0"/>
        <w:spacing w:line="300" w:lineRule="auto"/>
        <w:ind w:firstLine="420" w:firstLineChars="200"/>
        <w:rPr>
          <w:rFonts w:ascii="宋体" w:hAnsi="宋体" w:cs="宋体"/>
          <w:szCs w:val="21"/>
        </w:rPr>
      </w:pPr>
      <w:r>
        <w:rPr>
          <w:rFonts w:hint="eastAsia" w:ascii="宋体" w:hAnsi="宋体" w:cs="宋体"/>
          <w:szCs w:val="21"/>
        </w:rPr>
        <w:t>投标文件应一式五份（正本一份、副本四份），密封在一个外层包封中；包封应写明项目名称、招标编号、投标人名称、地址、电话、传真，并由法定代表人或授权代表签字并加盖公章，注明“开标前不得开封”，包封的粘缝全都用封签密封并加盖单位公章。投标截止日后恕不再接受投标人投递标书。</w:t>
      </w:r>
    </w:p>
    <w:p w14:paraId="30ADD660">
      <w:pPr>
        <w:adjustRightInd w:val="0"/>
        <w:snapToGrid w:val="0"/>
        <w:spacing w:line="300" w:lineRule="auto"/>
        <w:ind w:firstLine="482" w:firstLineChars="200"/>
        <w:rPr>
          <w:rFonts w:ascii="宋体" w:hAnsi="宋体" w:cs="宋体"/>
          <w:b/>
          <w:sz w:val="24"/>
        </w:rPr>
      </w:pPr>
      <w:r>
        <w:rPr>
          <w:rFonts w:hint="eastAsia" w:ascii="宋体" w:hAnsi="宋体" w:cs="宋体"/>
          <w:b/>
          <w:sz w:val="24"/>
        </w:rPr>
        <w:t>九、投标人承诺对如下内容已完全理解</w:t>
      </w:r>
    </w:p>
    <w:p w14:paraId="492971D4">
      <w:pPr>
        <w:adjustRightInd w:val="0"/>
        <w:snapToGrid w:val="0"/>
        <w:spacing w:line="300" w:lineRule="auto"/>
        <w:ind w:firstLine="420" w:firstLineChars="200"/>
        <w:rPr>
          <w:rFonts w:ascii="宋体" w:hAnsi="宋体" w:cs="宋体"/>
          <w:szCs w:val="21"/>
        </w:rPr>
      </w:pPr>
      <w:r>
        <w:rPr>
          <w:rFonts w:hint="eastAsia" w:ascii="宋体" w:hAnsi="宋体" w:cs="宋体"/>
          <w:szCs w:val="21"/>
        </w:rPr>
        <w:t>1.中标人由本校评标小组综合评审确定。</w:t>
      </w:r>
    </w:p>
    <w:p w14:paraId="4DF38D7A">
      <w:pPr>
        <w:adjustRightInd w:val="0"/>
        <w:snapToGrid w:val="0"/>
        <w:spacing w:line="300" w:lineRule="auto"/>
        <w:ind w:firstLine="420" w:firstLineChars="200"/>
        <w:rPr>
          <w:rFonts w:ascii="宋体" w:hAnsi="宋体" w:cs="宋体"/>
          <w:szCs w:val="21"/>
        </w:rPr>
      </w:pPr>
      <w:r>
        <w:rPr>
          <w:rFonts w:hint="eastAsia" w:ascii="宋体" w:hAnsi="宋体" w:cs="宋体"/>
          <w:szCs w:val="21"/>
        </w:rPr>
        <w:t>2.最低报价不作为中标的唯一条件；招标人不接受其他任何形式的报价。</w:t>
      </w:r>
    </w:p>
    <w:p w14:paraId="718DAAFF">
      <w:pPr>
        <w:adjustRightInd w:val="0"/>
        <w:snapToGrid w:val="0"/>
        <w:spacing w:line="300" w:lineRule="auto"/>
        <w:ind w:firstLine="420" w:firstLineChars="200"/>
        <w:rPr>
          <w:rFonts w:ascii="宋体" w:hAnsi="宋体" w:cs="宋体"/>
          <w:szCs w:val="21"/>
        </w:rPr>
      </w:pPr>
      <w:r>
        <w:rPr>
          <w:rFonts w:hint="eastAsia" w:ascii="宋体" w:hAnsi="宋体" w:cs="宋体"/>
          <w:szCs w:val="21"/>
        </w:rPr>
        <w:t>3.如因招标人原因造成项目调整的，应以招标人的书面确认书为准。</w:t>
      </w:r>
    </w:p>
    <w:p w14:paraId="7CC25E3D">
      <w:pPr>
        <w:adjustRightInd w:val="0"/>
        <w:snapToGrid w:val="0"/>
        <w:spacing w:line="300" w:lineRule="auto"/>
        <w:ind w:firstLine="420" w:firstLineChars="200"/>
        <w:rPr>
          <w:rFonts w:ascii="宋体" w:hAnsi="宋体" w:cs="宋体"/>
          <w:szCs w:val="21"/>
        </w:rPr>
      </w:pPr>
      <w:r>
        <w:rPr>
          <w:rFonts w:hint="eastAsia" w:ascii="宋体" w:hAnsi="宋体" w:cs="宋体"/>
          <w:szCs w:val="21"/>
        </w:rPr>
        <w:t>4.投标人对本招标文件其他内容均充分理解，并承诺一旦中标即严格执行，认同招标公告、本招标文件、承诺函及投标人的投标文件作为合同附件，与合同有同等法律效力。</w:t>
      </w:r>
    </w:p>
    <w:p w14:paraId="6EBCD3A5">
      <w:pPr>
        <w:adjustRightInd w:val="0"/>
        <w:snapToGrid w:val="0"/>
        <w:spacing w:line="300" w:lineRule="auto"/>
        <w:ind w:firstLine="420" w:firstLineChars="200"/>
        <w:rPr>
          <w:rFonts w:hint="eastAsia" w:ascii="宋体" w:hAnsi="宋体" w:cs="宋体"/>
          <w:szCs w:val="21"/>
        </w:rPr>
      </w:pPr>
      <w:r>
        <w:rPr>
          <w:rFonts w:hint="eastAsia" w:ascii="宋体" w:hAnsi="宋体" w:cs="宋体"/>
          <w:szCs w:val="21"/>
        </w:rPr>
        <w:t>5.投标人承诺</w:t>
      </w:r>
      <w:r>
        <w:rPr>
          <w:rFonts w:hint="eastAsia" w:ascii="宋体" w:hAnsi="宋体" w:cs="宋体"/>
          <w:szCs w:val="21"/>
          <w:lang w:val="en-US" w:eastAsia="zh-CN"/>
        </w:rPr>
        <w:t>投标</w:t>
      </w:r>
      <w:r>
        <w:rPr>
          <w:rFonts w:hint="eastAsia" w:ascii="宋体" w:hAnsi="宋体" w:cs="宋体"/>
          <w:szCs w:val="21"/>
        </w:rPr>
        <w:t>货物的技术规格、性能指标、功能要求及质量标准均应完全符合本项目招标文件第五项中约定的“主要技术参数及要求”的规定，并同时满足投标人在投标文件（特别是《技术条款偏离表》）中所作出的承诺与说明。</w:t>
      </w:r>
    </w:p>
    <w:p w14:paraId="6F290498">
      <w:pPr>
        <w:adjustRightInd w:val="0"/>
        <w:snapToGrid w:val="0"/>
        <w:spacing w:line="300" w:lineRule="auto"/>
        <w:ind w:firstLine="420" w:firstLineChars="200"/>
        <w:rPr>
          <w:rFonts w:hint="eastAsia" w:ascii="宋体" w:hAnsi="宋体" w:cs="宋体"/>
          <w:szCs w:val="21"/>
          <w:highlight w:val="none"/>
        </w:rPr>
      </w:pPr>
      <w:r>
        <w:rPr>
          <w:rFonts w:hint="eastAsia" w:ascii="宋体" w:hAnsi="宋体" w:cs="宋体"/>
          <w:szCs w:val="21"/>
          <w:lang w:val="en-US" w:eastAsia="zh-CN"/>
        </w:rPr>
        <w:t>6.投标人承诺投标</w:t>
      </w:r>
      <w:r>
        <w:rPr>
          <w:rFonts w:hint="eastAsia" w:ascii="宋体" w:hAnsi="宋体" w:cs="宋体"/>
          <w:szCs w:val="21"/>
        </w:rPr>
        <w:t>文件</w:t>
      </w:r>
      <w:r>
        <w:rPr>
          <w:rFonts w:hint="eastAsia" w:ascii="宋体" w:hAnsi="宋体" w:cs="宋体"/>
          <w:szCs w:val="21"/>
          <w:lang w:val="en-US" w:eastAsia="zh-CN"/>
        </w:rPr>
        <w:t>所响应内容</w:t>
      </w:r>
      <w:r>
        <w:rPr>
          <w:rFonts w:hint="eastAsia" w:ascii="宋体" w:hAnsi="宋体" w:cs="宋体"/>
          <w:szCs w:val="21"/>
        </w:rPr>
        <w:t>包含可以实现招标人需求的全部硬件及软件设施</w:t>
      </w:r>
      <w:r>
        <w:rPr>
          <w:rFonts w:hint="eastAsia" w:ascii="宋体" w:hAnsi="宋体" w:cs="宋体"/>
          <w:szCs w:val="21"/>
          <w:lang w:eastAsia="zh-CN"/>
        </w:rPr>
        <w:t>。</w:t>
      </w:r>
    </w:p>
    <w:p w14:paraId="13BB291D">
      <w:pPr>
        <w:adjustRightInd w:val="0"/>
        <w:snapToGrid w:val="0"/>
        <w:spacing w:line="300" w:lineRule="auto"/>
        <w:ind w:firstLine="482" w:firstLineChars="200"/>
        <w:rPr>
          <w:rFonts w:ascii="宋体" w:hAnsi="宋体" w:cs="宋体"/>
          <w:b/>
          <w:sz w:val="24"/>
        </w:rPr>
      </w:pPr>
      <w:r>
        <w:rPr>
          <w:rFonts w:hint="eastAsia" w:ascii="宋体" w:hAnsi="宋体" w:cs="宋体"/>
          <w:b/>
          <w:sz w:val="24"/>
        </w:rPr>
        <w:t>十、合同签订</w:t>
      </w:r>
    </w:p>
    <w:p w14:paraId="38C3E294">
      <w:pPr>
        <w:adjustRightInd w:val="0"/>
        <w:snapToGrid w:val="0"/>
        <w:spacing w:line="300" w:lineRule="auto"/>
        <w:ind w:firstLine="420" w:firstLineChars="200"/>
        <w:rPr>
          <w:rFonts w:ascii="宋体" w:hAnsi="宋体" w:cs="宋体"/>
          <w:szCs w:val="21"/>
        </w:rPr>
      </w:pPr>
      <w:r>
        <w:rPr>
          <w:rFonts w:hint="eastAsia" w:ascii="宋体" w:hAnsi="宋体" w:cs="宋体"/>
          <w:szCs w:val="21"/>
        </w:rPr>
        <w:t>中标人在收到中标通知书之日起7日之内到南京财经大学红山学院公共基础学院签订合同，逾期不签合同的，视为中标人自动放弃，投标保证金不予退还。</w:t>
      </w:r>
    </w:p>
    <w:p w14:paraId="1F73412C">
      <w:pPr>
        <w:adjustRightInd w:val="0"/>
        <w:snapToGrid w:val="0"/>
        <w:spacing w:line="300" w:lineRule="auto"/>
        <w:ind w:firstLine="482" w:firstLineChars="200"/>
        <w:rPr>
          <w:rFonts w:ascii="宋体" w:hAnsi="宋体" w:cs="宋体"/>
          <w:b/>
          <w:bCs/>
          <w:sz w:val="48"/>
          <w:szCs w:val="48"/>
        </w:rPr>
      </w:pPr>
      <w:r>
        <w:rPr>
          <w:rFonts w:hint="eastAsia" w:ascii="宋体" w:hAnsi="宋体" w:cs="宋体"/>
          <w:b/>
          <w:sz w:val="24"/>
        </w:rPr>
        <w:t>十一、合同主要条款：（附件六）</w:t>
      </w:r>
    </w:p>
    <w:p w14:paraId="6C70555D">
      <w:pPr>
        <w:pStyle w:val="2"/>
      </w:pPr>
    </w:p>
    <w:p w14:paraId="78E15E64">
      <w:pPr>
        <w:adjustRightInd w:val="0"/>
        <w:snapToGrid w:val="0"/>
        <w:spacing w:line="360" w:lineRule="auto"/>
        <w:jc w:val="right"/>
        <w:rPr>
          <w:rFonts w:ascii="宋体" w:hAnsi="宋体" w:cs="宋体"/>
          <w:szCs w:val="21"/>
        </w:rPr>
      </w:pPr>
    </w:p>
    <w:p w14:paraId="163785B9">
      <w:pPr>
        <w:adjustRightInd w:val="0"/>
        <w:snapToGrid w:val="0"/>
        <w:spacing w:line="360" w:lineRule="auto"/>
        <w:jc w:val="right"/>
        <w:rPr>
          <w:rFonts w:ascii="宋体" w:hAnsi="宋体" w:cs="宋体"/>
          <w:szCs w:val="21"/>
        </w:rPr>
      </w:pPr>
    </w:p>
    <w:p w14:paraId="7081AF2A">
      <w:pPr>
        <w:adjustRightInd w:val="0"/>
        <w:snapToGrid w:val="0"/>
        <w:spacing w:line="360" w:lineRule="auto"/>
        <w:jc w:val="right"/>
        <w:rPr>
          <w:rFonts w:ascii="宋体" w:hAnsi="宋体" w:cs="宋体"/>
          <w:szCs w:val="21"/>
        </w:rPr>
      </w:pPr>
    </w:p>
    <w:p w14:paraId="2FC1049C">
      <w:pPr>
        <w:adjustRightInd w:val="0"/>
        <w:snapToGrid w:val="0"/>
        <w:spacing w:line="360" w:lineRule="auto"/>
        <w:jc w:val="right"/>
        <w:rPr>
          <w:rFonts w:ascii="宋体" w:hAnsi="宋体" w:cs="宋体"/>
          <w:szCs w:val="21"/>
        </w:rPr>
      </w:pPr>
      <w:r>
        <w:rPr>
          <w:rFonts w:hint="eastAsia" w:ascii="宋体" w:hAnsi="宋体" w:cs="宋体"/>
          <w:szCs w:val="21"/>
        </w:rPr>
        <w:t>南京财经大学红山学院采购与招投标工作小组</w:t>
      </w:r>
    </w:p>
    <w:p w14:paraId="42B0A9C1">
      <w:pPr>
        <w:adjustRightInd w:val="0"/>
        <w:snapToGrid w:val="0"/>
        <w:spacing w:line="360" w:lineRule="auto"/>
        <w:jc w:val="right"/>
      </w:pPr>
      <w:r>
        <w:rPr>
          <w:rFonts w:hint="eastAsia" w:ascii="宋体" w:hAnsi="宋体" w:cs="宋体"/>
          <w:szCs w:val="21"/>
        </w:rPr>
        <w:t>2025年10月</w:t>
      </w:r>
      <w:r>
        <w:rPr>
          <w:rFonts w:hint="eastAsia" w:ascii="宋体" w:hAnsi="宋体" w:cs="宋体"/>
          <w:szCs w:val="21"/>
          <w:lang w:val="en-US" w:eastAsia="zh-CN"/>
        </w:rPr>
        <w:t>23</w:t>
      </w:r>
      <w:r>
        <w:rPr>
          <w:rFonts w:hint="eastAsia" w:ascii="宋体" w:hAnsi="宋体" w:cs="宋体"/>
          <w:szCs w:val="21"/>
        </w:rPr>
        <w:t>日</w:t>
      </w:r>
    </w:p>
    <w:p w14:paraId="50530C16">
      <w:pPr>
        <w:adjustRightInd w:val="0"/>
        <w:snapToGrid w:val="0"/>
        <w:spacing w:line="300" w:lineRule="auto"/>
        <w:ind w:firstLine="420" w:firstLineChars="200"/>
        <w:rPr>
          <w:rFonts w:ascii="宋体" w:hAnsi="宋体" w:cs="宋体"/>
          <w:szCs w:val="21"/>
        </w:rPr>
      </w:pPr>
    </w:p>
    <w:p w14:paraId="2A8DA12B">
      <w:pPr>
        <w:spacing w:line="300" w:lineRule="auto"/>
        <w:ind w:firstLine="420" w:firstLineChars="200"/>
      </w:pPr>
    </w:p>
    <w:p w14:paraId="517877F0">
      <w:pPr>
        <w:pStyle w:val="2"/>
        <w:spacing w:after="0" w:line="300" w:lineRule="auto"/>
        <w:ind w:firstLine="420" w:firstLineChars="200"/>
      </w:pPr>
    </w:p>
    <w:p w14:paraId="28A18982">
      <w:pPr>
        <w:spacing w:line="300" w:lineRule="auto"/>
        <w:ind w:firstLine="420" w:firstLineChars="200"/>
      </w:pPr>
    </w:p>
    <w:p w14:paraId="7EDAC619">
      <w:pPr>
        <w:pStyle w:val="2"/>
        <w:spacing w:after="0" w:line="300" w:lineRule="auto"/>
        <w:ind w:firstLine="420" w:firstLineChars="200"/>
      </w:pPr>
    </w:p>
    <w:p w14:paraId="0B711F00">
      <w:pPr>
        <w:adjustRightInd w:val="0"/>
        <w:snapToGrid w:val="0"/>
        <w:spacing w:line="300" w:lineRule="auto"/>
        <w:rPr>
          <w:rFonts w:ascii="宋体" w:hAnsi="宋体" w:cs="宋体"/>
          <w:sz w:val="24"/>
        </w:rPr>
      </w:pPr>
      <w:r>
        <w:rPr>
          <w:rFonts w:hint="eastAsia" w:ascii="宋体" w:hAnsi="宋体" w:cs="宋体"/>
          <w:sz w:val="24"/>
        </w:rPr>
        <w:t>附件一：</w:t>
      </w:r>
    </w:p>
    <w:p w14:paraId="7AF19794">
      <w:pPr>
        <w:adjustRightInd w:val="0"/>
        <w:snapToGrid w:val="0"/>
        <w:spacing w:line="300" w:lineRule="auto"/>
        <w:jc w:val="center"/>
        <w:rPr>
          <w:rFonts w:ascii="宋体" w:hAnsi="宋体" w:cs="宋体"/>
          <w:b/>
          <w:sz w:val="32"/>
        </w:rPr>
      </w:pPr>
      <w:r>
        <w:rPr>
          <w:rFonts w:hint="eastAsia" w:ascii="宋体" w:hAnsi="宋体" w:cs="宋体"/>
          <w:b/>
          <w:sz w:val="32"/>
        </w:rPr>
        <w:t>投标报价函</w:t>
      </w:r>
    </w:p>
    <w:p w14:paraId="1281B8D7">
      <w:pPr>
        <w:pStyle w:val="10"/>
        <w:adjustRightInd w:val="0"/>
        <w:snapToGrid w:val="0"/>
        <w:spacing w:before="0" w:beforeAutospacing="0" w:after="0" w:afterAutospacing="0" w:line="300" w:lineRule="auto"/>
        <w:jc w:val="center"/>
        <w:rPr>
          <w:rFonts w:ascii="宋体" w:hAnsi="宋体" w:eastAsia="宋体"/>
          <w:b/>
          <w:bCs/>
          <w:sz w:val="21"/>
          <w:szCs w:val="21"/>
        </w:rPr>
      </w:pPr>
      <w:r>
        <w:rPr>
          <w:rFonts w:hint="eastAsia" w:ascii="宋体" w:hAnsi="宋体" w:eastAsia="宋体"/>
          <w:b/>
          <w:bCs/>
          <w:sz w:val="21"/>
          <w:szCs w:val="21"/>
        </w:rPr>
        <w:t>（以下内容仅供参考，需根据本次招标的实际情况修改）</w:t>
      </w:r>
    </w:p>
    <w:p w14:paraId="542779F1">
      <w:pPr>
        <w:adjustRightInd w:val="0"/>
        <w:snapToGrid w:val="0"/>
        <w:spacing w:line="300" w:lineRule="auto"/>
        <w:jc w:val="center"/>
      </w:pPr>
    </w:p>
    <w:p w14:paraId="3D38F411">
      <w:pPr>
        <w:adjustRightInd w:val="0"/>
        <w:snapToGrid w:val="0"/>
        <w:spacing w:line="300" w:lineRule="auto"/>
        <w:rPr>
          <w:rFonts w:ascii="宋体" w:hAnsi="宋体"/>
          <w:szCs w:val="21"/>
        </w:rPr>
      </w:pPr>
      <w:r>
        <w:rPr>
          <w:rFonts w:hint="eastAsia" w:ascii="宋体" w:hAnsi="宋体"/>
          <w:szCs w:val="21"/>
        </w:rPr>
        <w:t>南京财经大学红山学院采购与招标工作小组：</w:t>
      </w:r>
    </w:p>
    <w:p w14:paraId="4AD66DEB">
      <w:pPr>
        <w:adjustRightInd w:val="0"/>
        <w:snapToGrid w:val="0"/>
        <w:spacing w:line="300" w:lineRule="auto"/>
        <w:ind w:firstLine="539" w:firstLineChars="257"/>
        <w:rPr>
          <w:rFonts w:ascii="宋体" w:hAnsi="宋体"/>
          <w:szCs w:val="21"/>
        </w:rPr>
      </w:pPr>
    </w:p>
    <w:p w14:paraId="1084BD26">
      <w:pPr>
        <w:adjustRightInd w:val="0"/>
        <w:snapToGrid w:val="0"/>
        <w:spacing w:line="300" w:lineRule="auto"/>
        <w:ind w:firstLine="539" w:firstLineChars="257"/>
        <w:rPr>
          <w:rFonts w:ascii="宋体" w:hAnsi="宋体"/>
          <w:szCs w:val="21"/>
        </w:rPr>
      </w:pPr>
      <w:r>
        <w:rPr>
          <w:rFonts w:hint="eastAsia" w:ascii="宋体" w:hAnsi="宋体"/>
          <w:szCs w:val="21"/>
        </w:rPr>
        <w:t>针对贵方招标编号为：</w:t>
      </w:r>
      <w:r>
        <w:rPr>
          <w:rFonts w:hint="eastAsia" w:ascii="宋体" w:hAnsi="宋体"/>
          <w:szCs w:val="21"/>
          <w:u w:val="single"/>
        </w:rPr>
        <w:t xml:space="preserve">             </w:t>
      </w:r>
      <w:r>
        <w:rPr>
          <w:rFonts w:hint="eastAsia" w:ascii="宋体" w:hAnsi="宋体"/>
          <w:szCs w:val="21"/>
        </w:rPr>
        <w:t>的招标文件，正式授权</w:t>
      </w:r>
      <w:r>
        <w:rPr>
          <w:rFonts w:hint="eastAsia" w:ascii="宋体" w:hAnsi="宋体"/>
          <w:szCs w:val="21"/>
          <w:u w:val="single"/>
        </w:rPr>
        <w:t xml:space="preserve">      </w:t>
      </w:r>
      <w:r>
        <w:rPr>
          <w:rFonts w:hint="eastAsia" w:ascii="宋体" w:hAnsi="宋体"/>
          <w:szCs w:val="21"/>
        </w:rPr>
        <w:t>(姓名和职务）代表</w:t>
      </w:r>
      <w:r>
        <w:rPr>
          <w:rFonts w:hint="eastAsia" w:ascii="宋体" w:hAnsi="宋体"/>
          <w:szCs w:val="21"/>
          <w:u w:val="single"/>
        </w:rPr>
        <w:t xml:space="preserve">                </w:t>
      </w:r>
      <w:r>
        <w:rPr>
          <w:rFonts w:hint="eastAsia" w:ascii="宋体" w:hAnsi="宋体"/>
          <w:szCs w:val="21"/>
        </w:rPr>
        <w:t>（投标人的名称），提交下述文件正本一式一份，副本一式四份。</w:t>
      </w:r>
    </w:p>
    <w:p w14:paraId="292E1C24">
      <w:pPr>
        <w:adjustRightInd w:val="0"/>
        <w:snapToGrid w:val="0"/>
        <w:spacing w:line="300" w:lineRule="auto"/>
        <w:ind w:firstLine="539" w:firstLineChars="257"/>
        <w:rPr>
          <w:rFonts w:ascii="宋体" w:hAnsi="宋体"/>
          <w:szCs w:val="21"/>
        </w:rPr>
      </w:pPr>
      <w:r>
        <w:rPr>
          <w:rFonts w:hint="eastAsia" w:ascii="宋体" w:hAnsi="宋体"/>
          <w:szCs w:val="21"/>
        </w:rPr>
        <w:t>1.我方已仔细研究了</w:t>
      </w:r>
      <w:r>
        <w:rPr>
          <w:rFonts w:hint="eastAsia" w:ascii="宋体" w:hAnsi="宋体"/>
          <w:szCs w:val="21"/>
          <w:u w:val="single"/>
        </w:rPr>
        <w:t xml:space="preserve">               </w:t>
      </w:r>
      <w:r>
        <w:rPr>
          <w:rFonts w:hint="eastAsia" w:ascii="宋体" w:hAnsi="宋体"/>
          <w:szCs w:val="21"/>
        </w:rPr>
        <w:t>（项目名称）招标文件及其有效补充文件的全部内容，我们知道必须放弃提出含糊不清或误解的问题的权利要求；</w:t>
      </w:r>
    </w:p>
    <w:p w14:paraId="4208F6C6">
      <w:pPr>
        <w:adjustRightInd w:val="0"/>
        <w:snapToGrid w:val="0"/>
        <w:spacing w:line="300" w:lineRule="auto"/>
        <w:ind w:firstLine="539" w:firstLineChars="257"/>
        <w:rPr>
          <w:rFonts w:ascii="宋体" w:hAnsi="宋体"/>
          <w:szCs w:val="21"/>
        </w:rPr>
      </w:pPr>
      <w:r>
        <w:rPr>
          <w:rFonts w:hint="eastAsia" w:ascii="宋体" w:hAnsi="宋体"/>
          <w:szCs w:val="21"/>
        </w:rPr>
        <w:t>2.我方将严格履行本投标文件中的全部承诺和责任，并遵守招标文件中对投标人的所有规定；愿意以我方报价单中所报价格提供相关产品或服务，按合同约定落实执行。</w:t>
      </w:r>
    </w:p>
    <w:p w14:paraId="59ACC3EF">
      <w:pPr>
        <w:adjustRightInd w:val="0"/>
        <w:snapToGrid w:val="0"/>
        <w:spacing w:line="300" w:lineRule="auto"/>
        <w:ind w:firstLine="539" w:firstLineChars="257"/>
        <w:rPr>
          <w:rFonts w:ascii="宋体" w:hAnsi="宋体"/>
          <w:szCs w:val="21"/>
        </w:rPr>
      </w:pPr>
      <w:r>
        <w:rPr>
          <w:rFonts w:hint="eastAsia" w:ascii="宋体" w:hAnsi="宋体"/>
          <w:szCs w:val="21"/>
        </w:rPr>
        <w:t>3.我方同意从规定的开标日期起遵循本投标书，并在规定的投标有效期期满之前均具有约束力。</w:t>
      </w:r>
    </w:p>
    <w:p w14:paraId="78C9BB03">
      <w:pPr>
        <w:adjustRightInd w:val="0"/>
        <w:snapToGrid w:val="0"/>
        <w:spacing w:line="300" w:lineRule="auto"/>
        <w:ind w:firstLine="539" w:firstLineChars="257"/>
        <w:rPr>
          <w:rFonts w:ascii="宋体" w:hAnsi="宋体"/>
          <w:szCs w:val="21"/>
        </w:rPr>
      </w:pPr>
      <w:r>
        <w:rPr>
          <w:rFonts w:hint="eastAsia" w:ascii="宋体" w:hAnsi="宋体"/>
          <w:szCs w:val="21"/>
        </w:rPr>
        <w:t>4.如果在开标后规定的投标有效期内撤回投标，我们的投标保证金可被贵方没收。</w:t>
      </w:r>
    </w:p>
    <w:p w14:paraId="675D51A0">
      <w:pPr>
        <w:adjustRightInd w:val="0"/>
        <w:snapToGrid w:val="0"/>
        <w:spacing w:line="300" w:lineRule="auto"/>
        <w:ind w:firstLine="539" w:firstLineChars="257"/>
        <w:rPr>
          <w:rFonts w:ascii="宋体" w:hAnsi="宋体"/>
          <w:szCs w:val="21"/>
        </w:rPr>
      </w:pPr>
      <w:r>
        <w:rPr>
          <w:rFonts w:hint="eastAsia" w:ascii="宋体" w:hAnsi="宋体"/>
          <w:szCs w:val="21"/>
        </w:rPr>
        <w:t>5.同意提供贵方可能另外要求的与投标有关的任何证据或资料。</w:t>
      </w:r>
    </w:p>
    <w:p w14:paraId="044144A2">
      <w:pPr>
        <w:wordWrap w:val="0"/>
        <w:adjustRightInd w:val="0"/>
        <w:snapToGrid w:val="0"/>
        <w:spacing w:line="300" w:lineRule="auto"/>
        <w:ind w:firstLine="539" w:firstLineChars="257"/>
        <w:rPr>
          <w:rFonts w:ascii="宋体" w:hAnsi="宋体"/>
          <w:szCs w:val="21"/>
        </w:rPr>
      </w:pPr>
      <w:r>
        <w:rPr>
          <w:rFonts w:hint="eastAsia" w:ascii="宋体" w:hAnsi="宋体"/>
          <w:szCs w:val="21"/>
        </w:rPr>
        <w:t>6.随同本投标函提交投标保证金一份，金额为人民币（大写</w:t>
      </w:r>
      <w:r>
        <w:rPr>
          <w:rFonts w:hint="eastAsia" w:ascii="宋体" w:hAnsi="宋体"/>
          <w:szCs w:val="21"/>
          <w:u w:val="single"/>
        </w:rPr>
        <w:t xml:space="preserve">）       </w:t>
      </w:r>
      <w:r>
        <w:rPr>
          <w:rFonts w:hint="eastAsia" w:ascii="宋体" w:hAnsi="宋体"/>
          <w:szCs w:val="21"/>
        </w:rPr>
        <w:t>元（</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666D8EB7">
      <w:pPr>
        <w:wordWrap w:val="0"/>
        <w:adjustRightInd w:val="0"/>
        <w:snapToGrid w:val="0"/>
        <w:spacing w:line="300" w:lineRule="auto"/>
        <w:ind w:firstLine="539" w:firstLineChars="257"/>
        <w:rPr>
          <w:rFonts w:ascii="宋体" w:hAnsi="宋体"/>
          <w:szCs w:val="21"/>
        </w:rPr>
      </w:pPr>
      <w:r>
        <w:rPr>
          <w:rFonts w:hint="eastAsia" w:ascii="宋体" w:hAnsi="宋体"/>
          <w:szCs w:val="21"/>
        </w:rPr>
        <w:t>7.我方针对编号为：</w:t>
      </w:r>
      <w:r>
        <w:rPr>
          <w:rFonts w:hint="eastAsia" w:ascii="宋体" w:hAnsi="宋体"/>
          <w:szCs w:val="21"/>
          <w:u w:val="single"/>
        </w:rPr>
        <w:t xml:space="preserve">      </w:t>
      </w:r>
      <w:r>
        <w:rPr>
          <w:rFonts w:hint="eastAsia" w:ascii="宋体" w:hAnsi="宋体"/>
          <w:szCs w:val="21"/>
        </w:rPr>
        <w:t>的项目投标总价（含税）：人民币(大写):</w:t>
      </w:r>
      <w:r>
        <w:rPr>
          <w:rFonts w:hint="eastAsia" w:ascii="宋体" w:hAnsi="宋体"/>
          <w:szCs w:val="21"/>
          <w:u w:val="single"/>
        </w:rPr>
        <w:t xml:space="preserve">       </w:t>
      </w:r>
      <w:r>
        <w:rPr>
          <w:rFonts w:hint="eastAsia" w:ascii="宋体" w:hAnsi="宋体"/>
          <w:szCs w:val="21"/>
        </w:rPr>
        <w:t>元（</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0682AB74">
      <w:pPr>
        <w:adjustRightInd w:val="0"/>
        <w:snapToGrid w:val="0"/>
        <w:spacing w:line="300" w:lineRule="auto"/>
        <w:ind w:firstLine="539" w:firstLineChars="257"/>
        <w:rPr>
          <w:rFonts w:ascii="宋体" w:hAnsi="宋体"/>
          <w:szCs w:val="21"/>
        </w:rPr>
      </w:pPr>
      <w:r>
        <w:rPr>
          <w:rFonts w:hint="eastAsia" w:ascii="宋体" w:hAnsi="宋体"/>
          <w:szCs w:val="21"/>
        </w:rPr>
        <w:t>8.如我方中标：</w:t>
      </w:r>
    </w:p>
    <w:p w14:paraId="2F4CD321">
      <w:pPr>
        <w:adjustRightInd w:val="0"/>
        <w:snapToGrid w:val="0"/>
        <w:spacing w:line="300" w:lineRule="auto"/>
        <w:ind w:firstLine="539" w:firstLineChars="257"/>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）我方承诺在收到中标通知书后，在中标通知书规定的期限内与你方签订合同。</w:t>
      </w:r>
    </w:p>
    <w:p w14:paraId="4B96D00F">
      <w:pPr>
        <w:adjustRightInd w:val="0"/>
        <w:snapToGrid w:val="0"/>
        <w:spacing w:line="300" w:lineRule="auto"/>
        <w:ind w:firstLine="539" w:firstLineChars="257"/>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）随同本投标函递交的投标函附录属于合同文件的组成部分。</w:t>
      </w:r>
    </w:p>
    <w:p w14:paraId="3E1A4A2B">
      <w:pPr>
        <w:adjustRightInd w:val="0"/>
        <w:snapToGrid w:val="0"/>
        <w:spacing w:line="300" w:lineRule="auto"/>
        <w:ind w:firstLine="539" w:firstLineChars="257"/>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）我方承诺按照招标文件规定向贵方缴纳履约保证金人民币（大写</w:t>
      </w:r>
      <w:r>
        <w:rPr>
          <w:rFonts w:hint="eastAsia" w:ascii="宋体" w:hAnsi="宋体"/>
          <w:szCs w:val="21"/>
          <w:u w:val="single"/>
        </w:rPr>
        <w:t xml:space="preserve">）       </w:t>
      </w:r>
      <w:r>
        <w:rPr>
          <w:rFonts w:hint="eastAsia" w:ascii="宋体" w:hAnsi="宋体"/>
          <w:szCs w:val="21"/>
        </w:rPr>
        <w:t>元（</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7AC8FEE2">
      <w:pPr>
        <w:adjustRightInd w:val="0"/>
        <w:snapToGrid w:val="0"/>
        <w:spacing w:line="300" w:lineRule="auto"/>
        <w:ind w:firstLine="539" w:firstLineChars="257"/>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）我方承诺在贵方招标文件要求的供货期（工期/服务期）</w:t>
      </w:r>
      <w:r>
        <w:rPr>
          <w:rFonts w:hint="eastAsia" w:ascii="宋体" w:hAnsi="宋体"/>
          <w:szCs w:val="21"/>
          <w:u w:val="single"/>
        </w:rPr>
        <w:t xml:space="preserve">      </w:t>
      </w:r>
      <w:r>
        <w:rPr>
          <w:rFonts w:hint="eastAsia" w:ascii="宋体" w:hAnsi="宋体"/>
          <w:szCs w:val="21"/>
        </w:rPr>
        <w:t xml:space="preserve"> 日内完成并交付贵方采购的全部货物（工程/服务）。</w:t>
      </w:r>
    </w:p>
    <w:p w14:paraId="669C4CC9">
      <w:pPr>
        <w:adjustRightInd w:val="0"/>
        <w:snapToGrid w:val="0"/>
        <w:spacing w:line="300" w:lineRule="auto"/>
        <w:ind w:firstLine="539" w:firstLineChars="257"/>
        <w:rPr>
          <w:rFonts w:ascii="宋体" w:hAnsi="宋体"/>
          <w:szCs w:val="21"/>
        </w:rPr>
      </w:pPr>
      <w:r>
        <w:rPr>
          <w:rFonts w:hint="eastAsia" w:ascii="宋体" w:hAnsi="宋体"/>
          <w:szCs w:val="21"/>
        </w:rPr>
        <w:t>9.我方在此声明，所递交的投标文件及有关资料内容完整、真实、准确，且不存在弄虚作假及其他违规行为。</w:t>
      </w:r>
    </w:p>
    <w:p w14:paraId="0EEA2AA9">
      <w:pPr>
        <w:adjustRightInd w:val="0"/>
        <w:snapToGrid w:val="0"/>
        <w:spacing w:line="300" w:lineRule="auto"/>
        <w:ind w:firstLine="539" w:firstLineChars="257"/>
        <w:rPr>
          <w:rFonts w:ascii="宋体" w:hAnsi="宋体"/>
          <w:szCs w:val="21"/>
        </w:rPr>
      </w:pPr>
      <w:r>
        <w:rPr>
          <w:rFonts w:hint="eastAsia" w:ascii="宋体" w:hAnsi="宋体"/>
          <w:szCs w:val="21"/>
        </w:rPr>
        <w:t>10.</w:t>
      </w:r>
      <w:r>
        <w:rPr>
          <w:rFonts w:hint="eastAsia" w:ascii="宋体" w:hAnsi="宋体"/>
          <w:szCs w:val="21"/>
          <w:u w:val="single"/>
        </w:rPr>
        <w:t xml:space="preserve">                                </w:t>
      </w:r>
      <w:r>
        <w:rPr>
          <w:rFonts w:hint="eastAsia" w:ascii="宋体" w:hAnsi="宋体"/>
          <w:szCs w:val="21"/>
        </w:rPr>
        <w:t>（其他补充说明）。</w:t>
      </w:r>
    </w:p>
    <w:p w14:paraId="357DFDF7">
      <w:pPr>
        <w:tabs>
          <w:tab w:val="left" w:pos="1183"/>
        </w:tabs>
        <w:adjustRightInd w:val="0"/>
        <w:snapToGrid w:val="0"/>
        <w:spacing w:line="300" w:lineRule="auto"/>
        <w:rPr>
          <w:rFonts w:ascii="宋体" w:hAnsi="宋体"/>
          <w:szCs w:val="21"/>
        </w:rPr>
      </w:pPr>
      <w:r>
        <w:rPr>
          <w:rFonts w:ascii="宋体" w:hAnsi="宋体"/>
          <w:szCs w:val="21"/>
        </w:rPr>
        <w:tab/>
      </w:r>
    </w:p>
    <w:p w14:paraId="1E5364C2">
      <w:pPr>
        <w:adjustRightInd w:val="0"/>
        <w:snapToGrid w:val="0"/>
        <w:spacing w:line="300" w:lineRule="auto"/>
        <w:ind w:firstLine="539" w:firstLineChars="257"/>
        <w:rPr>
          <w:rFonts w:ascii="宋体" w:hAnsi="宋体"/>
          <w:szCs w:val="21"/>
        </w:rPr>
      </w:pPr>
      <w:r>
        <w:rPr>
          <w:rFonts w:hint="eastAsia" w:ascii="宋体" w:hAnsi="宋体"/>
          <w:szCs w:val="21"/>
        </w:rPr>
        <w:t>投</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人：</w:t>
      </w:r>
      <w:r>
        <w:rPr>
          <w:rFonts w:hint="eastAsia" w:ascii="宋体" w:hAnsi="宋体"/>
          <w:szCs w:val="21"/>
          <w:u w:val="single"/>
        </w:rPr>
        <w:t xml:space="preserve">                            </w:t>
      </w:r>
      <w:r>
        <w:rPr>
          <w:rFonts w:hint="eastAsia" w:ascii="宋体" w:hAnsi="宋体"/>
          <w:szCs w:val="21"/>
        </w:rPr>
        <w:t>（盖单位章）</w:t>
      </w:r>
    </w:p>
    <w:p w14:paraId="350E13C6">
      <w:pPr>
        <w:adjustRightInd w:val="0"/>
        <w:snapToGrid w:val="0"/>
        <w:spacing w:line="300" w:lineRule="auto"/>
        <w:ind w:firstLine="539" w:firstLineChars="257"/>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3635D456">
      <w:pPr>
        <w:adjustRightInd w:val="0"/>
        <w:snapToGrid w:val="0"/>
        <w:spacing w:line="300" w:lineRule="auto"/>
        <w:ind w:firstLine="539" w:firstLineChars="257"/>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p>
    <w:p w14:paraId="09EAB00A">
      <w:pPr>
        <w:adjustRightInd w:val="0"/>
        <w:snapToGrid w:val="0"/>
        <w:spacing w:line="300" w:lineRule="auto"/>
        <w:ind w:firstLine="539" w:firstLineChars="257"/>
        <w:rPr>
          <w:rFonts w:ascii="宋体" w:hAnsi="宋体"/>
          <w:szCs w:val="21"/>
        </w:rPr>
      </w:pPr>
      <w:r>
        <w:rPr>
          <w:rFonts w:hint="eastAsia" w:ascii="宋体" w:hAnsi="宋体"/>
          <w:szCs w:val="21"/>
        </w:rPr>
        <w:t>网址：</w:t>
      </w:r>
      <w:r>
        <w:rPr>
          <w:rFonts w:hint="eastAsia" w:ascii="宋体" w:hAnsi="宋体"/>
          <w:szCs w:val="21"/>
          <w:u w:val="single"/>
        </w:rPr>
        <w:t xml:space="preserve">                                       </w:t>
      </w:r>
      <w:r>
        <w:rPr>
          <w:rFonts w:hint="eastAsia" w:ascii="宋体" w:hAnsi="宋体"/>
          <w:szCs w:val="21"/>
        </w:rPr>
        <w:t xml:space="preserve">                                        </w:t>
      </w:r>
    </w:p>
    <w:p w14:paraId="4EBDAEA2">
      <w:pPr>
        <w:adjustRightInd w:val="0"/>
        <w:snapToGrid w:val="0"/>
        <w:spacing w:line="300" w:lineRule="auto"/>
        <w:ind w:firstLine="539" w:firstLineChars="257"/>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w:t>
      </w:r>
    </w:p>
    <w:p w14:paraId="2650D65A">
      <w:pPr>
        <w:adjustRightInd w:val="0"/>
        <w:snapToGrid w:val="0"/>
        <w:spacing w:line="300" w:lineRule="auto"/>
        <w:ind w:firstLine="539" w:firstLineChars="257"/>
        <w:rPr>
          <w:rFonts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w:t>
      </w:r>
    </w:p>
    <w:p w14:paraId="1F4B2E47">
      <w:pPr>
        <w:adjustRightInd w:val="0"/>
        <w:snapToGrid w:val="0"/>
        <w:spacing w:line="300" w:lineRule="auto"/>
        <w:ind w:firstLine="539" w:firstLineChars="257"/>
        <w:rPr>
          <w:rFonts w:cs="宋体"/>
          <w:kern w:val="0"/>
          <w:szCs w:val="21"/>
          <w:u w:val="single"/>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w:t>
      </w:r>
    </w:p>
    <w:p w14:paraId="688210A4">
      <w:pPr>
        <w:adjustRightInd w:val="0"/>
        <w:snapToGrid w:val="0"/>
        <w:spacing w:line="300" w:lineRule="auto"/>
        <w:ind w:firstLine="539" w:firstLineChars="257"/>
        <w:jc w:val="right"/>
        <w:rPr>
          <w:rFonts w:ascii="宋体" w:cs="宋体"/>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cs="宋体"/>
          <w:kern w:val="0"/>
          <w:szCs w:val="21"/>
          <w:u w:val="single"/>
        </w:rPr>
        <w:t xml:space="preserve">     </w:t>
      </w:r>
      <w:r>
        <w:rPr>
          <w:rFonts w:hint="eastAsia" w:cs="宋体"/>
          <w:kern w:val="0"/>
          <w:szCs w:val="21"/>
        </w:rPr>
        <w:t>年</w:t>
      </w:r>
      <w:r>
        <w:rPr>
          <w:rFonts w:hint="eastAsia" w:cs="宋体"/>
          <w:kern w:val="0"/>
          <w:szCs w:val="21"/>
          <w:u w:val="single"/>
        </w:rPr>
        <w:t xml:space="preserve">     </w:t>
      </w:r>
      <w:r>
        <w:rPr>
          <w:rFonts w:hint="eastAsia" w:cs="宋体"/>
          <w:kern w:val="0"/>
          <w:szCs w:val="21"/>
        </w:rPr>
        <w:t>月</w:t>
      </w:r>
      <w:r>
        <w:rPr>
          <w:rFonts w:hint="eastAsia" w:cs="宋体"/>
          <w:kern w:val="0"/>
          <w:szCs w:val="21"/>
          <w:u w:val="single"/>
        </w:rPr>
        <w:t xml:space="preserve">     </w:t>
      </w:r>
      <w:r>
        <w:rPr>
          <w:rFonts w:hint="eastAsia" w:cs="宋体"/>
          <w:kern w:val="0"/>
          <w:szCs w:val="21"/>
        </w:rPr>
        <w:t>日</w:t>
      </w:r>
      <w:r>
        <w:rPr>
          <w:rFonts w:hint="eastAsia" w:ascii="宋体" w:hAnsi="宋体"/>
          <w:szCs w:val="21"/>
        </w:rPr>
        <w:t xml:space="preserve">   </w:t>
      </w:r>
      <w:r>
        <w:rPr>
          <w:rFonts w:ascii="宋体" w:hAnsi="宋体"/>
          <w:szCs w:val="21"/>
        </w:rPr>
        <w:t xml:space="preserve"> </w:t>
      </w:r>
    </w:p>
    <w:p w14:paraId="1CF22ED8">
      <w:pPr>
        <w:adjustRightInd w:val="0"/>
        <w:snapToGrid w:val="0"/>
        <w:spacing w:line="300" w:lineRule="auto"/>
        <w:rPr>
          <w:rFonts w:ascii="宋体"/>
          <w:b/>
          <w:bCs/>
          <w:sz w:val="24"/>
        </w:rPr>
      </w:pPr>
      <w:r>
        <w:rPr>
          <w:rFonts w:hint="eastAsia" w:ascii="宋体"/>
          <w:sz w:val="24"/>
        </w:rPr>
        <w:t>附件二：</w:t>
      </w:r>
    </w:p>
    <w:p w14:paraId="3F583D5E">
      <w:pPr>
        <w:adjustRightInd w:val="0"/>
        <w:snapToGrid w:val="0"/>
        <w:spacing w:line="300" w:lineRule="auto"/>
        <w:ind w:firstLine="640" w:firstLineChars="200"/>
        <w:jc w:val="center"/>
      </w:pPr>
      <w:r>
        <w:rPr>
          <w:rFonts w:hint="eastAsia" w:ascii="宋体"/>
          <w:b/>
          <w:bCs/>
          <w:sz w:val="32"/>
          <w:szCs w:val="32"/>
        </w:rPr>
        <w:t>报价表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2547"/>
        <w:gridCol w:w="1495"/>
        <w:gridCol w:w="1361"/>
        <w:gridCol w:w="1280"/>
        <w:gridCol w:w="1394"/>
      </w:tblGrid>
      <w:tr w14:paraId="5045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63" w:type="pct"/>
            <w:vAlign w:val="center"/>
          </w:tcPr>
          <w:p w14:paraId="0FC85F4A">
            <w:pPr>
              <w:jc w:val="center"/>
            </w:pPr>
            <w:r>
              <w:rPr>
                <w:rFonts w:hint="eastAsia" w:ascii="宋体" w:hAnsi="宋体"/>
                <w:b/>
              </w:rPr>
              <w:t>序号</w:t>
            </w:r>
          </w:p>
        </w:tc>
        <w:tc>
          <w:tcPr>
            <w:tcW w:w="1494" w:type="pct"/>
            <w:vAlign w:val="center"/>
          </w:tcPr>
          <w:p w14:paraId="7D7BE1C3">
            <w:pPr>
              <w:jc w:val="center"/>
            </w:pPr>
            <w:r>
              <w:rPr>
                <w:rFonts w:hint="eastAsia" w:ascii="宋体" w:hAnsi="宋体"/>
                <w:b/>
              </w:rPr>
              <w:t>采购项目</w:t>
            </w:r>
          </w:p>
        </w:tc>
        <w:tc>
          <w:tcPr>
            <w:tcW w:w="877" w:type="pct"/>
            <w:vAlign w:val="center"/>
          </w:tcPr>
          <w:p w14:paraId="613AFD52">
            <w:pPr>
              <w:jc w:val="center"/>
            </w:pPr>
            <w:r>
              <w:rPr>
                <w:rFonts w:hint="eastAsia" w:ascii="宋体" w:hAnsi="宋体"/>
                <w:b/>
              </w:rPr>
              <w:t>数量</w:t>
            </w:r>
          </w:p>
        </w:tc>
        <w:tc>
          <w:tcPr>
            <w:tcW w:w="798" w:type="pct"/>
            <w:vAlign w:val="center"/>
          </w:tcPr>
          <w:p w14:paraId="528E54D8">
            <w:pPr>
              <w:jc w:val="center"/>
              <w:rPr>
                <w:rFonts w:ascii="宋体" w:hAnsi="宋体"/>
                <w:b/>
              </w:rPr>
            </w:pPr>
            <w:r>
              <w:rPr>
                <w:rFonts w:hint="eastAsia" w:ascii="宋体" w:hAnsi="宋体"/>
                <w:b/>
              </w:rPr>
              <w:t>单价（元）</w:t>
            </w:r>
          </w:p>
        </w:tc>
        <w:tc>
          <w:tcPr>
            <w:tcW w:w="751" w:type="pct"/>
            <w:vAlign w:val="center"/>
          </w:tcPr>
          <w:p w14:paraId="5D7742A9">
            <w:pPr>
              <w:jc w:val="center"/>
              <w:rPr>
                <w:rFonts w:ascii="宋体" w:hAnsi="宋体"/>
                <w:b/>
              </w:rPr>
            </w:pPr>
            <w:r>
              <w:rPr>
                <w:rFonts w:hint="eastAsia" w:ascii="宋体" w:hAnsi="宋体"/>
                <w:b/>
              </w:rPr>
              <w:t>总价（元）</w:t>
            </w:r>
          </w:p>
        </w:tc>
        <w:tc>
          <w:tcPr>
            <w:tcW w:w="814" w:type="pct"/>
            <w:vAlign w:val="center"/>
          </w:tcPr>
          <w:p w14:paraId="5DE6BFEC">
            <w:pPr>
              <w:jc w:val="center"/>
              <w:rPr>
                <w:rFonts w:ascii="宋体" w:hAnsi="宋体"/>
                <w:b/>
              </w:rPr>
            </w:pPr>
            <w:r>
              <w:rPr>
                <w:rFonts w:hint="eastAsia" w:ascii="宋体" w:hAnsi="宋体"/>
                <w:b/>
              </w:rPr>
              <w:t>备注</w:t>
            </w:r>
          </w:p>
        </w:tc>
      </w:tr>
      <w:tr w14:paraId="680A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63" w:type="pct"/>
            <w:vAlign w:val="center"/>
          </w:tcPr>
          <w:p w14:paraId="0889156B">
            <w:pPr>
              <w:jc w:val="center"/>
            </w:pPr>
            <w:r>
              <w:rPr>
                <w:rFonts w:hint="eastAsia" w:ascii="宋体" w:hAnsi="宋体"/>
              </w:rPr>
              <w:t>1</w:t>
            </w:r>
          </w:p>
        </w:tc>
        <w:tc>
          <w:tcPr>
            <w:tcW w:w="1494" w:type="pct"/>
            <w:vAlign w:val="center"/>
          </w:tcPr>
          <w:p w14:paraId="0EDD70B3">
            <w:pPr>
              <w:jc w:val="center"/>
            </w:pPr>
            <w:r>
              <w:rPr>
                <w:rFonts w:hint="eastAsia" w:ascii="宋体" w:hAnsi="宋体"/>
              </w:rPr>
              <w:t>计算机课程考试系统平台</w:t>
            </w:r>
          </w:p>
        </w:tc>
        <w:tc>
          <w:tcPr>
            <w:tcW w:w="877" w:type="pct"/>
            <w:vAlign w:val="center"/>
          </w:tcPr>
          <w:p w14:paraId="577800B4">
            <w:pPr>
              <w:autoSpaceDN w:val="0"/>
              <w:jc w:val="center"/>
              <w:textAlignment w:val="center"/>
            </w:pPr>
            <w:r>
              <w:rPr>
                <w:rFonts w:hint="eastAsia" w:ascii="宋体" w:hAnsi="宋体"/>
                <w:color w:val="000000"/>
              </w:rPr>
              <w:t>1套</w:t>
            </w:r>
          </w:p>
        </w:tc>
        <w:tc>
          <w:tcPr>
            <w:tcW w:w="798" w:type="pct"/>
            <w:vAlign w:val="center"/>
          </w:tcPr>
          <w:p w14:paraId="4C628478">
            <w:pPr>
              <w:ind w:right="210"/>
              <w:jc w:val="center"/>
            </w:pPr>
          </w:p>
        </w:tc>
        <w:tc>
          <w:tcPr>
            <w:tcW w:w="751" w:type="pct"/>
            <w:vAlign w:val="center"/>
          </w:tcPr>
          <w:p w14:paraId="4045D0F1">
            <w:pPr>
              <w:pStyle w:val="2"/>
            </w:pPr>
          </w:p>
        </w:tc>
        <w:tc>
          <w:tcPr>
            <w:tcW w:w="814" w:type="pct"/>
            <w:vAlign w:val="center"/>
          </w:tcPr>
          <w:p w14:paraId="5EADBF20">
            <w:pPr>
              <w:pStyle w:val="2"/>
            </w:pPr>
          </w:p>
        </w:tc>
      </w:tr>
      <w:tr w14:paraId="5FFC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63" w:type="pct"/>
            <w:vAlign w:val="center"/>
          </w:tcPr>
          <w:p w14:paraId="3A3B5999">
            <w:pPr>
              <w:jc w:val="center"/>
              <w:rPr>
                <w:rFonts w:ascii="宋体" w:hAnsi="宋体"/>
              </w:rPr>
            </w:pPr>
            <w:r>
              <w:rPr>
                <w:rFonts w:hint="eastAsia" w:ascii="宋体" w:hAnsi="宋体"/>
              </w:rPr>
              <w:t>2</w:t>
            </w:r>
          </w:p>
        </w:tc>
        <w:tc>
          <w:tcPr>
            <w:tcW w:w="1494" w:type="pct"/>
            <w:vAlign w:val="center"/>
          </w:tcPr>
          <w:p w14:paraId="71E63891">
            <w:pPr>
              <w:jc w:val="center"/>
              <w:rPr>
                <w:rFonts w:ascii="宋体" w:hAnsi="宋体"/>
              </w:rPr>
            </w:pPr>
            <w:r>
              <w:rPr>
                <w:rFonts w:ascii="宋体" w:hAnsi="宋体"/>
              </w:rPr>
              <w:t>MS Office2016高级应用课程考试、作业、题库模块</w:t>
            </w:r>
          </w:p>
        </w:tc>
        <w:tc>
          <w:tcPr>
            <w:tcW w:w="877" w:type="pct"/>
            <w:vAlign w:val="center"/>
          </w:tcPr>
          <w:p w14:paraId="6E2DAA1D">
            <w:pPr>
              <w:autoSpaceDN w:val="0"/>
              <w:adjustRightInd w:val="0"/>
              <w:snapToGrid w:val="0"/>
              <w:jc w:val="center"/>
              <w:textAlignment w:val="center"/>
              <w:rPr>
                <w:rFonts w:ascii="宋体" w:hAnsi="宋体"/>
                <w:color w:val="000000"/>
              </w:rPr>
            </w:pPr>
            <w:r>
              <w:rPr>
                <w:rFonts w:hint="eastAsia" w:ascii="宋体" w:hAnsi="宋体"/>
                <w:color w:val="000000"/>
              </w:rPr>
              <w:t>1科（</w:t>
            </w:r>
            <w:r>
              <w:rPr>
                <w:rFonts w:ascii="宋体" w:hAnsi="宋体"/>
                <w:color w:val="000000"/>
              </w:rPr>
              <w:t>600</w:t>
            </w:r>
            <w:r>
              <w:rPr>
                <w:rFonts w:hint="eastAsia" w:ascii="宋体" w:hAnsi="宋体"/>
                <w:color w:val="000000"/>
              </w:rPr>
              <w:t>点及以上）</w:t>
            </w:r>
          </w:p>
        </w:tc>
        <w:tc>
          <w:tcPr>
            <w:tcW w:w="798" w:type="pct"/>
            <w:vAlign w:val="center"/>
          </w:tcPr>
          <w:p w14:paraId="1403D0BB">
            <w:pPr>
              <w:ind w:right="210"/>
              <w:jc w:val="center"/>
            </w:pPr>
          </w:p>
        </w:tc>
        <w:tc>
          <w:tcPr>
            <w:tcW w:w="751" w:type="pct"/>
            <w:vAlign w:val="center"/>
          </w:tcPr>
          <w:p w14:paraId="0C8B7406">
            <w:pPr>
              <w:pStyle w:val="2"/>
            </w:pPr>
          </w:p>
        </w:tc>
        <w:tc>
          <w:tcPr>
            <w:tcW w:w="814" w:type="pct"/>
            <w:vAlign w:val="center"/>
          </w:tcPr>
          <w:p w14:paraId="234A9C16">
            <w:pPr>
              <w:pStyle w:val="2"/>
            </w:pPr>
          </w:p>
        </w:tc>
      </w:tr>
      <w:tr w14:paraId="188C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63" w:type="pct"/>
            <w:vAlign w:val="center"/>
          </w:tcPr>
          <w:p w14:paraId="5F82356F">
            <w:pPr>
              <w:jc w:val="center"/>
              <w:rPr>
                <w:rFonts w:ascii="宋体" w:hAnsi="宋体"/>
              </w:rPr>
            </w:pPr>
            <w:r>
              <w:rPr>
                <w:rFonts w:hint="eastAsia" w:ascii="宋体" w:hAnsi="宋体"/>
              </w:rPr>
              <w:t>3</w:t>
            </w:r>
          </w:p>
        </w:tc>
        <w:tc>
          <w:tcPr>
            <w:tcW w:w="1494" w:type="pct"/>
            <w:vAlign w:val="center"/>
          </w:tcPr>
          <w:p w14:paraId="513C9822">
            <w:pPr>
              <w:jc w:val="center"/>
              <w:rPr>
                <w:rFonts w:ascii="宋体" w:hAnsi="宋体"/>
              </w:rPr>
            </w:pPr>
            <w:r>
              <w:rPr>
                <w:rFonts w:ascii="宋体" w:hAnsi="宋体"/>
              </w:rPr>
              <w:t>Python课程考试、作业、题库模块</w:t>
            </w:r>
          </w:p>
        </w:tc>
        <w:tc>
          <w:tcPr>
            <w:tcW w:w="877" w:type="pct"/>
            <w:vAlign w:val="center"/>
          </w:tcPr>
          <w:p w14:paraId="04D942C2">
            <w:pPr>
              <w:autoSpaceDN w:val="0"/>
              <w:adjustRightInd w:val="0"/>
              <w:snapToGrid w:val="0"/>
              <w:jc w:val="center"/>
              <w:textAlignment w:val="center"/>
              <w:rPr>
                <w:rFonts w:ascii="宋体" w:hAnsi="宋体"/>
                <w:color w:val="000000"/>
              </w:rPr>
            </w:pPr>
            <w:r>
              <w:rPr>
                <w:rFonts w:hint="eastAsia" w:ascii="宋体" w:hAnsi="宋体"/>
                <w:color w:val="000000"/>
              </w:rPr>
              <w:t>1科（</w:t>
            </w:r>
            <w:r>
              <w:rPr>
                <w:rFonts w:ascii="宋体" w:hAnsi="宋体"/>
                <w:color w:val="000000"/>
              </w:rPr>
              <w:t>600</w:t>
            </w:r>
            <w:r>
              <w:rPr>
                <w:rFonts w:hint="eastAsia" w:ascii="宋体" w:hAnsi="宋体"/>
                <w:color w:val="000000"/>
              </w:rPr>
              <w:t>点及以上）</w:t>
            </w:r>
          </w:p>
        </w:tc>
        <w:tc>
          <w:tcPr>
            <w:tcW w:w="798" w:type="pct"/>
            <w:vAlign w:val="center"/>
          </w:tcPr>
          <w:p w14:paraId="132D5456">
            <w:pPr>
              <w:ind w:right="210"/>
              <w:jc w:val="center"/>
            </w:pPr>
          </w:p>
        </w:tc>
        <w:tc>
          <w:tcPr>
            <w:tcW w:w="751" w:type="pct"/>
            <w:vAlign w:val="center"/>
          </w:tcPr>
          <w:p w14:paraId="6A8A4927">
            <w:pPr>
              <w:pStyle w:val="2"/>
            </w:pPr>
          </w:p>
        </w:tc>
        <w:tc>
          <w:tcPr>
            <w:tcW w:w="814" w:type="pct"/>
            <w:vAlign w:val="center"/>
          </w:tcPr>
          <w:p w14:paraId="0BF12DF1">
            <w:pPr>
              <w:pStyle w:val="2"/>
            </w:pPr>
          </w:p>
        </w:tc>
      </w:tr>
      <w:tr w14:paraId="146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000" w:type="pct"/>
            <w:gridSpan w:val="6"/>
            <w:vAlign w:val="bottom"/>
          </w:tcPr>
          <w:p w14:paraId="5A45A011">
            <w:pPr>
              <w:pStyle w:val="2"/>
              <w:jc w:val="center"/>
              <w:rPr>
                <w:rFonts w:ascii="宋体" w:hAnsi="宋体" w:cs="宋体"/>
                <w:szCs w:val="21"/>
              </w:rPr>
            </w:pPr>
            <w:r>
              <w:rPr>
                <w:rFonts w:hint="eastAsia" w:ascii="宋体" w:hAnsi="宋体" w:cs="宋体"/>
                <w:szCs w:val="21"/>
              </w:rPr>
              <w:t>合计总金额（大写）</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 xml:space="preserve"> 元（￥：</w:t>
            </w:r>
            <w:r>
              <w:rPr>
                <w:rFonts w:hint="eastAsia" w:ascii="宋体" w:hAnsi="宋体" w:cs="宋体"/>
                <w:szCs w:val="21"/>
                <w:u w:val="single"/>
              </w:rPr>
              <w:t xml:space="preserve">         </w:t>
            </w:r>
            <w:r>
              <w:rPr>
                <w:rFonts w:hint="eastAsia" w:ascii="宋体" w:hAnsi="宋体" w:cs="宋体"/>
                <w:szCs w:val="21"/>
              </w:rPr>
              <w:t>.00）</w:t>
            </w:r>
          </w:p>
        </w:tc>
      </w:tr>
    </w:tbl>
    <w:p w14:paraId="0631EB5F">
      <w:pPr>
        <w:wordWrap w:val="0"/>
        <w:adjustRightInd w:val="0"/>
        <w:spacing w:line="360" w:lineRule="auto"/>
        <w:contextualSpacing/>
        <w:jc w:val="left"/>
        <w:rPr>
          <w:rFonts w:ascii="宋体" w:hAnsi="宋体" w:cs="宋体"/>
          <w:szCs w:val="21"/>
        </w:rPr>
      </w:pPr>
      <w:r>
        <w:rPr>
          <w:rFonts w:hint="eastAsia" w:ascii="宋体" w:hAnsi="宋体" w:cs="宋体"/>
          <w:szCs w:val="21"/>
        </w:rPr>
        <w:t>备注：1.供应商报价应包含所有税费及履约成本，采购人不再另行支付其他任何费用。</w:t>
      </w:r>
    </w:p>
    <w:p w14:paraId="41D534DD">
      <w:pPr>
        <w:widowControl/>
        <w:spacing w:line="400" w:lineRule="exact"/>
        <w:ind w:firstLine="630" w:firstLineChars="300"/>
        <w:jc w:val="left"/>
        <w:rPr>
          <w:rFonts w:ascii="宋体" w:hAnsi="宋体" w:cs="宋体"/>
          <w:kern w:val="0"/>
          <w:szCs w:val="21"/>
        </w:rPr>
      </w:pPr>
      <w:r>
        <w:rPr>
          <w:rFonts w:hint="eastAsia" w:ascii="宋体" w:hAnsi="宋体" w:cs="宋体"/>
          <w:szCs w:val="21"/>
        </w:rPr>
        <w:t>2.</w:t>
      </w:r>
      <w:r>
        <w:rPr>
          <w:rFonts w:hint="eastAsia" w:ascii="宋体" w:hAnsi="宋体" w:cs="宋体"/>
          <w:kern w:val="0"/>
          <w:szCs w:val="21"/>
        </w:rPr>
        <w:t>中标人开具与本报价单总报价相符的增值税普通发票。</w:t>
      </w:r>
    </w:p>
    <w:p w14:paraId="36F92D86">
      <w:pPr>
        <w:pStyle w:val="2"/>
        <w:rPr>
          <w:rFonts w:ascii="宋体"/>
          <w:sz w:val="28"/>
          <w:szCs w:val="28"/>
        </w:rPr>
      </w:pPr>
      <w:r>
        <w:rPr>
          <w:rFonts w:hint="eastAsia" w:ascii="宋体"/>
          <w:sz w:val="28"/>
          <w:szCs w:val="28"/>
        </w:rPr>
        <w:t xml:space="preserve">  </w:t>
      </w:r>
    </w:p>
    <w:p w14:paraId="40A4E8F1">
      <w:pPr>
        <w:pStyle w:val="2"/>
        <w:rPr>
          <w:rFonts w:ascii="宋体"/>
          <w:sz w:val="28"/>
          <w:szCs w:val="28"/>
        </w:rPr>
      </w:pPr>
    </w:p>
    <w:p w14:paraId="7A3B3F3D">
      <w:pPr>
        <w:pStyle w:val="2"/>
        <w:jc w:val="center"/>
        <w:rPr>
          <w:rFonts w:ascii="宋体" w:hAnsi="宋体"/>
          <w:bCs/>
          <w:sz w:val="24"/>
          <w:u w:val="single"/>
        </w:rPr>
      </w:pPr>
      <w:r>
        <w:rPr>
          <w:rFonts w:hint="eastAsia" w:ascii="宋体" w:hAnsi="宋体"/>
          <w:bCs/>
          <w:sz w:val="24"/>
        </w:rPr>
        <w:t>投标单位：</w:t>
      </w:r>
      <w:r>
        <w:rPr>
          <w:rFonts w:hint="eastAsia" w:ascii="宋体" w:hAnsi="宋体"/>
          <w:bCs/>
          <w:sz w:val="24"/>
          <w:u w:val="single"/>
        </w:rPr>
        <w:t xml:space="preserve">                  </w:t>
      </w:r>
    </w:p>
    <w:p w14:paraId="2982BA03">
      <w:pPr>
        <w:pStyle w:val="2"/>
        <w:ind w:firstLine="1920" w:firstLineChars="8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 日</w:t>
      </w:r>
    </w:p>
    <w:p w14:paraId="5BAD3C36">
      <w:pPr>
        <w:pStyle w:val="2"/>
        <w:rPr>
          <w:rFonts w:ascii="宋体"/>
          <w:sz w:val="28"/>
          <w:szCs w:val="28"/>
        </w:rPr>
      </w:pPr>
    </w:p>
    <w:p w14:paraId="6B4DF086">
      <w:pPr>
        <w:pStyle w:val="2"/>
        <w:rPr>
          <w:rFonts w:ascii="宋体"/>
          <w:sz w:val="28"/>
          <w:szCs w:val="28"/>
        </w:rPr>
      </w:pPr>
    </w:p>
    <w:p w14:paraId="7AB6D080">
      <w:pPr>
        <w:pStyle w:val="2"/>
        <w:rPr>
          <w:rFonts w:ascii="宋体"/>
          <w:sz w:val="28"/>
          <w:szCs w:val="28"/>
        </w:rPr>
      </w:pPr>
    </w:p>
    <w:p w14:paraId="015B5481">
      <w:pPr>
        <w:pStyle w:val="2"/>
        <w:rPr>
          <w:rFonts w:ascii="宋体"/>
          <w:sz w:val="28"/>
          <w:szCs w:val="28"/>
        </w:rPr>
      </w:pPr>
    </w:p>
    <w:p w14:paraId="208A7175">
      <w:pPr>
        <w:pStyle w:val="2"/>
        <w:rPr>
          <w:rFonts w:ascii="宋体"/>
          <w:sz w:val="28"/>
          <w:szCs w:val="28"/>
        </w:rPr>
      </w:pPr>
    </w:p>
    <w:p w14:paraId="25029E03">
      <w:pPr>
        <w:pStyle w:val="2"/>
        <w:rPr>
          <w:rFonts w:ascii="宋体"/>
          <w:sz w:val="28"/>
          <w:szCs w:val="28"/>
        </w:rPr>
      </w:pPr>
    </w:p>
    <w:p w14:paraId="6FCE2A06">
      <w:pPr>
        <w:pStyle w:val="2"/>
        <w:rPr>
          <w:rFonts w:ascii="宋体"/>
          <w:sz w:val="28"/>
          <w:szCs w:val="28"/>
        </w:rPr>
      </w:pPr>
    </w:p>
    <w:p w14:paraId="2310C215">
      <w:pPr>
        <w:adjustRightInd w:val="0"/>
        <w:snapToGrid w:val="0"/>
        <w:spacing w:line="300" w:lineRule="auto"/>
        <w:jc w:val="left"/>
        <w:rPr>
          <w:rFonts w:ascii="宋体"/>
          <w:sz w:val="24"/>
        </w:rPr>
      </w:pPr>
      <w:r>
        <w:rPr>
          <w:rFonts w:hint="eastAsia" w:ascii="宋体"/>
          <w:sz w:val="24"/>
        </w:rPr>
        <w:t>附件三：</w:t>
      </w:r>
    </w:p>
    <w:p w14:paraId="51846555">
      <w:pPr>
        <w:adjustRightInd w:val="0"/>
        <w:snapToGrid w:val="0"/>
        <w:spacing w:line="300" w:lineRule="auto"/>
        <w:jc w:val="center"/>
        <w:rPr>
          <w:rFonts w:ascii="宋体" w:hAnsi="宋体" w:cs="宋体"/>
          <w:sz w:val="24"/>
        </w:rPr>
      </w:pPr>
      <w:r>
        <w:rPr>
          <w:rFonts w:hint="eastAsia" w:ascii="宋体" w:hAnsi="宋体" w:cs="宋体"/>
          <w:b/>
          <w:sz w:val="32"/>
        </w:rPr>
        <w:t>资质审核索引表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8"/>
        <w:gridCol w:w="1220"/>
      </w:tblGrid>
      <w:tr w14:paraId="186E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vAlign w:val="center"/>
          </w:tcPr>
          <w:p w14:paraId="05F3B601">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资质要求项目</w:t>
            </w:r>
          </w:p>
        </w:tc>
        <w:tc>
          <w:tcPr>
            <w:tcW w:w="1220" w:type="dxa"/>
            <w:vAlign w:val="center"/>
          </w:tcPr>
          <w:p w14:paraId="1553FCF0">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投标文件所在页码</w:t>
            </w:r>
          </w:p>
        </w:tc>
      </w:tr>
      <w:tr w14:paraId="76B1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308" w:type="dxa"/>
            <w:vAlign w:val="center"/>
          </w:tcPr>
          <w:p w14:paraId="63852896">
            <w:pPr>
              <w:adjustRightInd w:val="0"/>
              <w:snapToGrid w:val="0"/>
              <w:spacing w:line="300" w:lineRule="auto"/>
              <w:rPr>
                <w:rFonts w:ascii="宋体" w:hAnsi="宋体" w:cs="宋体"/>
                <w:szCs w:val="21"/>
              </w:rPr>
            </w:pPr>
            <w:r>
              <w:rPr>
                <w:rFonts w:hint="eastAsia" w:ascii="宋体" w:hAnsi="宋体" w:cs="宋体"/>
              </w:rPr>
              <w:t>1.投标人必须是在市场监督管理部门和税务部门登记注册的企业，具有独立法人资格，持有效营业执照、税务登记证、组织机构代码证（或三证合一）及所经营项目相关的国家、行业规范要求的相关证照。</w:t>
            </w:r>
          </w:p>
        </w:tc>
        <w:tc>
          <w:tcPr>
            <w:tcW w:w="1220" w:type="dxa"/>
          </w:tcPr>
          <w:p w14:paraId="0BBEF310">
            <w:pPr>
              <w:adjustRightInd w:val="0"/>
              <w:snapToGrid w:val="0"/>
              <w:spacing w:line="300" w:lineRule="auto"/>
              <w:ind w:firstLine="420" w:firstLineChars="200"/>
              <w:rPr>
                <w:rFonts w:ascii="宋体" w:hAnsi="宋体"/>
                <w:szCs w:val="21"/>
              </w:rPr>
            </w:pPr>
          </w:p>
        </w:tc>
      </w:tr>
      <w:tr w14:paraId="0A98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7308" w:type="dxa"/>
            <w:vAlign w:val="center"/>
          </w:tcPr>
          <w:p w14:paraId="01EF245F">
            <w:pPr>
              <w:adjustRightInd w:val="0"/>
              <w:snapToGrid w:val="0"/>
              <w:spacing w:line="300" w:lineRule="auto"/>
              <w:rPr>
                <w:rFonts w:ascii="宋体" w:hAnsi="宋体" w:cs="宋体"/>
              </w:rPr>
            </w:pPr>
            <w:r>
              <w:rPr>
                <w:rFonts w:hint="eastAsia" w:ascii="宋体" w:hAnsi="宋体" w:cs="宋体"/>
              </w:rPr>
              <w:t>2.具有良好的商业信誉和健全的财务会计制度，提供距招标时间一年内任意月份的财务状况报告（至少包括资产负债表和利润表），或其银行出具的资信证书（复印件）（招标前六个月内），或其2023或2024年度经审计的财务报告复印件加盖公章。</w:t>
            </w:r>
          </w:p>
        </w:tc>
        <w:tc>
          <w:tcPr>
            <w:tcW w:w="1220" w:type="dxa"/>
          </w:tcPr>
          <w:p w14:paraId="4CD48461">
            <w:pPr>
              <w:widowControl/>
              <w:adjustRightInd w:val="0"/>
              <w:snapToGrid w:val="0"/>
              <w:spacing w:line="300" w:lineRule="auto"/>
              <w:jc w:val="left"/>
              <w:textAlignment w:val="center"/>
              <w:rPr>
                <w:rFonts w:ascii="宋体" w:hAnsi="宋体" w:cs="宋体"/>
              </w:rPr>
            </w:pPr>
          </w:p>
        </w:tc>
      </w:tr>
      <w:tr w14:paraId="10DE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308" w:type="dxa"/>
            <w:vAlign w:val="center"/>
          </w:tcPr>
          <w:p w14:paraId="325421DC">
            <w:pPr>
              <w:adjustRightInd w:val="0"/>
              <w:snapToGrid w:val="0"/>
              <w:spacing w:line="300" w:lineRule="auto"/>
              <w:rPr>
                <w:rFonts w:ascii="宋体" w:hAnsi="宋体" w:cs="宋体"/>
              </w:rPr>
            </w:pPr>
            <w:r>
              <w:rPr>
                <w:rFonts w:hint="eastAsia" w:ascii="宋体" w:hAnsi="宋体" w:cs="宋体"/>
              </w:rPr>
              <w:t>3.有依法缴纳税收和社会保障资金的良好记录（提供参加本次采购活动前半年内至少一个月依法缴纳税收和社会保障资金的有效凭据复印件加盖公章，依法免税或不需要缴纳社会保障资金的供应商，应提供相应证明文件）。</w:t>
            </w:r>
          </w:p>
        </w:tc>
        <w:tc>
          <w:tcPr>
            <w:tcW w:w="1220" w:type="dxa"/>
          </w:tcPr>
          <w:p w14:paraId="457E05B6">
            <w:pPr>
              <w:widowControl/>
              <w:adjustRightInd w:val="0"/>
              <w:snapToGrid w:val="0"/>
              <w:spacing w:line="300" w:lineRule="auto"/>
              <w:jc w:val="left"/>
              <w:textAlignment w:val="center"/>
              <w:rPr>
                <w:rFonts w:ascii="宋体" w:hAnsi="宋体" w:cs="宋体"/>
              </w:rPr>
            </w:pPr>
          </w:p>
        </w:tc>
      </w:tr>
      <w:tr w14:paraId="2985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308" w:type="dxa"/>
            <w:vAlign w:val="center"/>
          </w:tcPr>
          <w:p w14:paraId="24D87FC9">
            <w:pPr>
              <w:adjustRightInd w:val="0"/>
              <w:snapToGrid w:val="0"/>
              <w:spacing w:line="300" w:lineRule="auto"/>
              <w:rPr>
                <w:rFonts w:ascii="宋体" w:hAnsi="宋体" w:cs="宋体"/>
              </w:rPr>
            </w:pPr>
            <w:r>
              <w:rPr>
                <w:rFonts w:hint="eastAsia" w:ascii="宋体" w:hAnsi="宋体" w:cs="宋体"/>
              </w:rPr>
              <w:t>4.提供近三年内(2022年10月1日至投标文件递交截止日前）同类型产品业绩（不得缺失最终用户签订的合同首页、合同金额所在页、合同签字盖章页）。</w:t>
            </w:r>
          </w:p>
        </w:tc>
        <w:tc>
          <w:tcPr>
            <w:tcW w:w="1220" w:type="dxa"/>
          </w:tcPr>
          <w:p w14:paraId="67FECC0C">
            <w:pPr>
              <w:widowControl/>
              <w:adjustRightInd w:val="0"/>
              <w:snapToGrid w:val="0"/>
              <w:spacing w:line="300" w:lineRule="auto"/>
              <w:jc w:val="left"/>
              <w:textAlignment w:val="center"/>
              <w:rPr>
                <w:rFonts w:ascii="宋体" w:hAnsi="宋体" w:cs="宋体"/>
              </w:rPr>
            </w:pPr>
          </w:p>
        </w:tc>
      </w:tr>
      <w:tr w14:paraId="71E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308" w:type="dxa"/>
            <w:vAlign w:val="center"/>
          </w:tcPr>
          <w:p w14:paraId="736F99C5">
            <w:pPr>
              <w:adjustRightInd w:val="0"/>
              <w:snapToGrid w:val="0"/>
              <w:spacing w:line="300" w:lineRule="auto"/>
              <w:rPr>
                <w:rFonts w:ascii="宋体" w:hAnsi="宋体" w:cs="宋体"/>
              </w:rPr>
            </w:pPr>
            <w:r>
              <w:rPr>
                <w:rFonts w:hint="eastAsia" w:ascii="宋体" w:hAnsi="宋体" w:cs="宋体"/>
              </w:rPr>
              <w:t>5.具有履行合同专业技术能力的承诺函（根据项目需求提供履行合同所必需的专业设备清单及佐证材料，加盖公章，格式自拟）。</w:t>
            </w:r>
          </w:p>
        </w:tc>
        <w:tc>
          <w:tcPr>
            <w:tcW w:w="1220" w:type="dxa"/>
          </w:tcPr>
          <w:p w14:paraId="5FF105EA">
            <w:pPr>
              <w:widowControl/>
              <w:adjustRightInd w:val="0"/>
              <w:snapToGrid w:val="0"/>
              <w:spacing w:line="300" w:lineRule="auto"/>
              <w:jc w:val="left"/>
              <w:textAlignment w:val="center"/>
              <w:rPr>
                <w:rFonts w:ascii="宋体" w:hAnsi="宋体" w:cs="宋体"/>
              </w:rPr>
            </w:pPr>
          </w:p>
        </w:tc>
      </w:tr>
      <w:tr w14:paraId="0ECA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308" w:type="dxa"/>
            <w:vAlign w:val="center"/>
          </w:tcPr>
          <w:p w14:paraId="187806C9">
            <w:pPr>
              <w:adjustRightInd w:val="0"/>
              <w:snapToGrid w:val="0"/>
              <w:spacing w:line="300" w:lineRule="auto"/>
              <w:rPr>
                <w:rFonts w:ascii="宋体" w:hAnsi="宋体" w:cs="宋体"/>
              </w:rPr>
            </w:pPr>
            <w:r>
              <w:rPr>
                <w:rFonts w:hint="eastAsia" w:ascii="宋体" w:hAnsi="宋体" w:cs="宋体"/>
              </w:rPr>
              <w:t>6.提供自2022年10月1日以来，在经营活动中没有重大违法记录和未受行业主管部门处罚的承诺书（格式自拟）以及在“信用中国”或“诚信江苏”或中国政府采购网等渠道查询在本公告发布之日后的信用记录的截图。（截图需体现日期）</w:t>
            </w:r>
          </w:p>
        </w:tc>
        <w:tc>
          <w:tcPr>
            <w:tcW w:w="1220" w:type="dxa"/>
          </w:tcPr>
          <w:p w14:paraId="1DB1443F">
            <w:pPr>
              <w:widowControl/>
              <w:adjustRightInd w:val="0"/>
              <w:snapToGrid w:val="0"/>
              <w:spacing w:line="300" w:lineRule="auto"/>
              <w:jc w:val="left"/>
              <w:textAlignment w:val="center"/>
              <w:rPr>
                <w:rFonts w:ascii="宋体" w:hAnsi="宋体" w:cs="宋体"/>
              </w:rPr>
            </w:pPr>
          </w:p>
        </w:tc>
      </w:tr>
      <w:tr w14:paraId="62D0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308" w:type="dxa"/>
            <w:vAlign w:val="center"/>
          </w:tcPr>
          <w:p w14:paraId="4EDB942A">
            <w:pPr>
              <w:adjustRightInd w:val="0"/>
              <w:snapToGrid w:val="0"/>
              <w:spacing w:line="300" w:lineRule="auto"/>
              <w:rPr>
                <w:rFonts w:ascii="宋体" w:hAnsi="宋体" w:cs="宋体"/>
              </w:rPr>
            </w:pPr>
            <w:r>
              <w:rPr>
                <w:rFonts w:hint="eastAsia" w:ascii="宋体" w:hAnsi="宋体" w:cs="宋体"/>
              </w:rPr>
              <w:t>7.法人代表授权书（原件）及法定代表人、授权代表身份证复印件（如果是法定代表人直接参与报价的可以不提供授权书）。</w:t>
            </w:r>
          </w:p>
        </w:tc>
        <w:tc>
          <w:tcPr>
            <w:tcW w:w="1220" w:type="dxa"/>
          </w:tcPr>
          <w:p w14:paraId="44E8AA9B">
            <w:pPr>
              <w:widowControl/>
              <w:adjustRightInd w:val="0"/>
              <w:snapToGrid w:val="0"/>
              <w:spacing w:line="300" w:lineRule="auto"/>
              <w:jc w:val="left"/>
              <w:textAlignment w:val="center"/>
              <w:rPr>
                <w:rFonts w:ascii="宋体" w:hAnsi="宋体" w:cs="宋体"/>
              </w:rPr>
            </w:pPr>
          </w:p>
        </w:tc>
      </w:tr>
      <w:tr w14:paraId="5173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08" w:type="dxa"/>
            <w:vAlign w:val="center"/>
          </w:tcPr>
          <w:p w14:paraId="5794BF44">
            <w:pPr>
              <w:adjustRightInd w:val="0"/>
              <w:snapToGrid w:val="0"/>
              <w:spacing w:line="300" w:lineRule="auto"/>
              <w:rPr>
                <w:rFonts w:ascii="宋体" w:hAnsi="宋体" w:cs="宋体"/>
              </w:rPr>
            </w:pPr>
            <w:r>
              <w:rPr>
                <w:rFonts w:hint="eastAsia" w:ascii="宋体" w:hAnsi="宋体" w:cs="宋体"/>
              </w:rPr>
              <w:t>8.法律、行政法规规定的其他从事本项目资质条件。</w:t>
            </w:r>
          </w:p>
        </w:tc>
        <w:tc>
          <w:tcPr>
            <w:tcW w:w="1220" w:type="dxa"/>
          </w:tcPr>
          <w:p w14:paraId="12022DB8">
            <w:pPr>
              <w:widowControl/>
              <w:adjustRightInd w:val="0"/>
              <w:snapToGrid w:val="0"/>
              <w:spacing w:line="300" w:lineRule="auto"/>
              <w:jc w:val="left"/>
              <w:textAlignment w:val="center"/>
              <w:rPr>
                <w:rFonts w:ascii="宋体" w:hAnsi="宋体" w:cs="宋体"/>
              </w:rPr>
            </w:pPr>
          </w:p>
        </w:tc>
      </w:tr>
      <w:tr w14:paraId="5C15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08" w:type="dxa"/>
            <w:vAlign w:val="center"/>
          </w:tcPr>
          <w:p w14:paraId="46D999BE">
            <w:pPr>
              <w:adjustRightInd w:val="0"/>
              <w:snapToGrid w:val="0"/>
              <w:spacing w:line="300" w:lineRule="auto"/>
              <w:rPr>
                <w:rFonts w:ascii="宋体" w:hAnsi="宋体" w:cs="宋体"/>
              </w:rPr>
            </w:pPr>
            <w:r>
              <w:rPr>
                <w:rFonts w:hint="eastAsia" w:ascii="宋体" w:hAnsi="宋体" w:cs="宋体"/>
              </w:rPr>
              <w:t>9.本次招标不接受联合体投标。</w:t>
            </w:r>
          </w:p>
        </w:tc>
        <w:tc>
          <w:tcPr>
            <w:tcW w:w="1220" w:type="dxa"/>
          </w:tcPr>
          <w:p w14:paraId="4BC0B776">
            <w:pPr>
              <w:widowControl/>
              <w:adjustRightInd w:val="0"/>
              <w:snapToGrid w:val="0"/>
              <w:spacing w:line="300" w:lineRule="auto"/>
              <w:jc w:val="left"/>
              <w:textAlignment w:val="center"/>
              <w:rPr>
                <w:rFonts w:ascii="宋体" w:hAnsi="宋体" w:cs="宋体"/>
              </w:rPr>
            </w:pPr>
          </w:p>
        </w:tc>
      </w:tr>
      <w:tr w14:paraId="7726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08" w:type="dxa"/>
            <w:vAlign w:val="center"/>
          </w:tcPr>
          <w:p w14:paraId="7501C77D">
            <w:pPr>
              <w:adjustRightInd w:val="0"/>
              <w:snapToGrid w:val="0"/>
              <w:spacing w:line="300" w:lineRule="auto"/>
              <w:rPr>
                <w:rFonts w:ascii="宋体" w:hAnsi="宋体" w:cs="宋体"/>
              </w:rPr>
            </w:pPr>
            <w:r>
              <w:rPr>
                <w:rFonts w:hint="eastAsia" w:ascii="宋体" w:hAnsi="宋体" w:cs="宋体"/>
              </w:rPr>
              <w:t>10.本项目不接受进口产品投标（注：本文件所称进口产品是指通过中国海关报关验放进入中国境内且产自关境外的产品）。</w:t>
            </w:r>
          </w:p>
        </w:tc>
        <w:tc>
          <w:tcPr>
            <w:tcW w:w="1220" w:type="dxa"/>
          </w:tcPr>
          <w:p w14:paraId="54E405C6">
            <w:pPr>
              <w:widowControl/>
              <w:adjustRightInd w:val="0"/>
              <w:snapToGrid w:val="0"/>
              <w:spacing w:line="300" w:lineRule="auto"/>
              <w:jc w:val="left"/>
              <w:textAlignment w:val="center"/>
              <w:rPr>
                <w:rFonts w:ascii="宋体" w:hAnsi="宋体" w:cs="宋体"/>
              </w:rPr>
            </w:pPr>
          </w:p>
        </w:tc>
      </w:tr>
    </w:tbl>
    <w:p w14:paraId="37BA6091">
      <w:pPr>
        <w:adjustRightInd w:val="0"/>
        <w:snapToGrid w:val="0"/>
        <w:spacing w:line="300" w:lineRule="auto"/>
        <w:rPr>
          <w:rFonts w:ascii="宋体" w:hAnsi="宋体" w:cs="宋体"/>
        </w:rPr>
      </w:pPr>
      <w:r>
        <w:rPr>
          <w:rFonts w:hint="eastAsia" w:ascii="宋体" w:hAnsi="宋体" w:cs="宋体"/>
        </w:rPr>
        <w:t>注：上述所有证明文件均需加盖投标人公章。</w:t>
      </w:r>
    </w:p>
    <w:p w14:paraId="3810B557">
      <w:pPr>
        <w:pStyle w:val="2"/>
        <w:rPr>
          <w:rFonts w:ascii="宋体"/>
          <w:sz w:val="28"/>
          <w:szCs w:val="28"/>
        </w:rPr>
      </w:pPr>
    </w:p>
    <w:p w14:paraId="5C3AF6E4">
      <w:pPr>
        <w:pStyle w:val="2"/>
        <w:rPr>
          <w:rFonts w:ascii="宋体"/>
          <w:sz w:val="28"/>
          <w:szCs w:val="28"/>
        </w:rPr>
      </w:pPr>
    </w:p>
    <w:p w14:paraId="287B309F">
      <w:pPr>
        <w:pStyle w:val="2"/>
        <w:rPr>
          <w:rFonts w:ascii="宋体"/>
          <w:sz w:val="28"/>
          <w:szCs w:val="28"/>
        </w:rPr>
      </w:pPr>
    </w:p>
    <w:p w14:paraId="13917AE2">
      <w:pPr>
        <w:pStyle w:val="2"/>
        <w:rPr>
          <w:rFonts w:ascii="宋体"/>
          <w:sz w:val="28"/>
          <w:szCs w:val="28"/>
        </w:rPr>
      </w:pPr>
    </w:p>
    <w:p w14:paraId="632DA193">
      <w:pPr>
        <w:adjustRightInd w:val="0"/>
        <w:snapToGrid w:val="0"/>
        <w:spacing w:line="300" w:lineRule="auto"/>
        <w:rPr>
          <w:rFonts w:ascii="宋体"/>
          <w:sz w:val="24"/>
        </w:rPr>
      </w:pPr>
      <w:r>
        <w:rPr>
          <w:rFonts w:hint="eastAsia" w:ascii="宋体"/>
          <w:sz w:val="24"/>
        </w:rPr>
        <w:t>附件四：</w:t>
      </w:r>
    </w:p>
    <w:p w14:paraId="45BF42DA">
      <w:pPr>
        <w:adjustRightInd w:val="0"/>
        <w:snapToGrid w:val="0"/>
        <w:spacing w:line="300" w:lineRule="auto"/>
        <w:jc w:val="center"/>
        <w:rPr>
          <w:rFonts w:ascii="宋体" w:hAnsi="宋体" w:cs="宋体"/>
          <w:b/>
          <w:sz w:val="32"/>
        </w:rPr>
      </w:pPr>
      <w:r>
        <w:rPr>
          <w:rFonts w:hint="eastAsia" w:ascii="宋体" w:hAnsi="宋体" w:cs="宋体"/>
          <w:b/>
          <w:sz w:val="32"/>
        </w:rPr>
        <w:t>评分索引表</w:t>
      </w:r>
    </w:p>
    <w:tbl>
      <w:tblPr>
        <w:tblStyle w:val="13"/>
        <w:tblW w:w="525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9"/>
        <w:gridCol w:w="1106"/>
        <w:gridCol w:w="684"/>
        <w:gridCol w:w="5239"/>
        <w:gridCol w:w="1106"/>
      </w:tblGrid>
      <w:tr w14:paraId="201F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48" w:type="pct"/>
            <w:vAlign w:val="center"/>
          </w:tcPr>
          <w:p w14:paraId="60BC4074">
            <w:pPr>
              <w:pStyle w:val="19"/>
              <w:spacing w:before="36" w:line="220" w:lineRule="auto"/>
              <w:jc w:val="center"/>
              <w:rPr>
                <w:b/>
                <w:bCs/>
                <w:spacing w:val="-9"/>
                <w:sz w:val="21"/>
                <w:szCs w:val="21"/>
                <w:lang w:eastAsia="zh-CN"/>
              </w:rPr>
            </w:pPr>
            <w:r>
              <w:rPr>
                <w:rFonts w:hint="eastAsia"/>
                <w:b/>
                <w:bCs/>
                <w:spacing w:val="-9"/>
                <w:sz w:val="21"/>
                <w:szCs w:val="21"/>
                <w:lang w:eastAsia="zh-CN"/>
              </w:rPr>
              <w:t>序号</w:t>
            </w:r>
          </w:p>
        </w:tc>
        <w:tc>
          <w:tcPr>
            <w:tcW w:w="632" w:type="pct"/>
            <w:vAlign w:val="center"/>
          </w:tcPr>
          <w:p w14:paraId="51484D3B">
            <w:pPr>
              <w:pStyle w:val="19"/>
              <w:spacing w:before="36" w:line="220" w:lineRule="auto"/>
              <w:jc w:val="center"/>
              <w:rPr>
                <w:b/>
                <w:bCs/>
                <w:spacing w:val="-9"/>
                <w:sz w:val="21"/>
                <w:szCs w:val="21"/>
                <w:lang w:eastAsia="zh-CN"/>
              </w:rPr>
            </w:pPr>
            <w:r>
              <w:rPr>
                <w:rFonts w:hint="eastAsia"/>
                <w:b/>
                <w:bCs/>
                <w:spacing w:val="-9"/>
                <w:sz w:val="21"/>
                <w:szCs w:val="21"/>
                <w:lang w:eastAsia="zh-CN"/>
              </w:rPr>
              <w:t>评分因素</w:t>
            </w:r>
          </w:p>
        </w:tc>
        <w:tc>
          <w:tcPr>
            <w:tcW w:w="391" w:type="pct"/>
            <w:vAlign w:val="center"/>
          </w:tcPr>
          <w:p w14:paraId="3FDB7DC6">
            <w:pPr>
              <w:pStyle w:val="19"/>
              <w:spacing w:before="36" w:line="220" w:lineRule="auto"/>
              <w:jc w:val="center"/>
              <w:rPr>
                <w:b/>
                <w:bCs/>
                <w:spacing w:val="-9"/>
                <w:sz w:val="21"/>
                <w:szCs w:val="21"/>
                <w:lang w:eastAsia="zh-CN"/>
              </w:rPr>
            </w:pPr>
            <w:r>
              <w:rPr>
                <w:rFonts w:hint="eastAsia"/>
                <w:b/>
                <w:bCs/>
                <w:spacing w:val="-9"/>
                <w:sz w:val="21"/>
                <w:szCs w:val="21"/>
                <w:lang w:eastAsia="zh-CN"/>
              </w:rPr>
              <w:t>分值</w:t>
            </w:r>
          </w:p>
        </w:tc>
        <w:tc>
          <w:tcPr>
            <w:tcW w:w="2995" w:type="pct"/>
            <w:vAlign w:val="center"/>
          </w:tcPr>
          <w:p w14:paraId="1A93AA9E">
            <w:pPr>
              <w:pStyle w:val="19"/>
              <w:spacing w:before="36" w:line="220" w:lineRule="auto"/>
              <w:jc w:val="center"/>
              <w:rPr>
                <w:b/>
                <w:bCs/>
                <w:spacing w:val="-9"/>
                <w:sz w:val="21"/>
                <w:szCs w:val="21"/>
                <w:lang w:eastAsia="zh-CN"/>
              </w:rPr>
            </w:pPr>
            <w:r>
              <w:rPr>
                <w:rFonts w:hint="eastAsia"/>
                <w:b/>
                <w:bCs/>
                <w:spacing w:val="-9"/>
                <w:sz w:val="21"/>
                <w:szCs w:val="21"/>
                <w:lang w:eastAsia="zh-CN"/>
              </w:rPr>
              <w:t>评分标准</w:t>
            </w:r>
          </w:p>
        </w:tc>
        <w:tc>
          <w:tcPr>
            <w:tcW w:w="632" w:type="pct"/>
            <w:vAlign w:val="center"/>
          </w:tcPr>
          <w:p w14:paraId="729C5B82">
            <w:pPr>
              <w:pStyle w:val="19"/>
              <w:spacing w:before="36" w:line="220" w:lineRule="auto"/>
              <w:jc w:val="center"/>
              <w:rPr>
                <w:b/>
                <w:bCs/>
                <w:spacing w:val="-9"/>
                <w:sz w:val="21"/>
                <w:szCs w:val="21"/>
                <w:lang w:eastAsia="zh-CN"/>
              </w:rPr>
            </w:pPr>
            <w:r>
              <w:rPr>
                <w:rFonts w:hint="eastAsia"/>
                <w:b/>
                <w:bCs/>
                <w:spacing w:val="-9"/>
                <w:sz w:val="21"/>
                <w:szCs w:val="21"/>
                <w:lang w:eastAsia="zh-CN"/>
              </w:rPr>
              <w:t>投标文件所在页码</w:t>
            </w:r>
          </w:p>
        </w:tc>
      </w:tr>
      <w:tr w14:paraId="1DDC4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7" w:hRule="atLeast"/>
        </w:trPr>
        <w:tc>
          <w:tcPr>
            <w:tcW w:w="348" w:type="pct"/>
            <w:vAlign w:val="center"/>
          </w:tcPr>
          <w:p w14:paraId="322498CB">
            <w:pPr>
              <w:pStyle w:val="19"/>
              <w:wordWrap w:val="0"/>
              <w:ind w:firstLine="210" w:firstLineChars="100"/>
              <w:rPr>
                <w:sz w:val="21"/>
                <w:szCs w:val="21"/>
                <w:lang w:eastAsia="zh-CN"/>
              </w:rPr>
            </w:pPr>
            <w:r>
              <w:rPr>
                <w:rFonts w:hint="eastAsia"/>
                <w:sz w:val="21"/>
                <w:szCs w:val="21"/>
                <w:lang w:eastAsia="zh-CN"/>
              </w:rPr>
              <w:t>1</w:t>
            </w:r>
          </w:p>
        </w:tc>
        <w:tc>
          <w:tcPr>
            <w:tcW w:w="632" w:type="pct"/>
            <w:vAlign w:val="center"/>
          </w:tcPr>
          <w:p w14:paraId="4F98C0ED">
            <w:pPr>
              <w:pStyle w:val="19"/>
              <w:wordWrap w:val="0"/>
              <w:ind w:firstLine="210" w:firstLineChars="100"/>
              <w:jc w:val="center"/>
              <w:rPr>
                <w:sz w:val="21"/>
                <w:szCs w:val="21"/>
                <w:lang w:eastAsia="zh-CN"/>
              </w:rPr>
            </w:pPr>
            <w:r>
              <w:rPr>
                <w:rFonts w:hint="eastAsia"/>
                <w:sz w:val="21"/>
                <w:szCs w:val="21"/>
                <w:lang w:eastAsia="zh-CN"/>
              </w:rPr>
              <w:t>价格</w:t>
            </w:r>
          </w:p>
        </w:tc>
        <w:tc>
          <w:tcPr>
            <w:tcW w:w="391" w:type="pct"/>
            <w:vAlign w:val="center"/>
          </w:tcPr>
          <w:p w14:paraId="104B68A7">
            <w:pPr>
              <w:pStyle w:val="19"/>
              <w:wordWrap w:val="0"/>
              <w:ind w:firstLine="210" w:firstLineChars="100"/>
              <w:rPr>
                <w:sz w:val="21"/>
                <w:szCs w:val="21"/>
                <w:lang w:eastAsia="zh-CN"/>
              </w:rPr>
            </w:pPr>
            <w:r>
              <w:rPr>
                <w:rFonts w:hint="eastAsia"/>
                <w:sz w:val="21"/>
                <w:szCs w:val="21"/>
                <w:lang w:eastAsia="zh-CN"/>
              </w:rPr>
              <w:t>35</w:t>
            </w:r>
          </w:p>
        </w:tc>
        <w:tc>
          <w:tcPr>
            <w:tcW w:w="2995" w:type="pct"/>
            <w:vAlign w:val="center"/>
          </w:tcPr>
          <w:p w14:paraId="48BD24E9">
            <w:pPr>
              <w:pStyle w:val="19"/>
              <w:wordWrap w:val="0"/>
              <w:spacing w:line="300" w:lineRule="auto"/>
              <w:jc w:val="left"/>
              <w:rPr>
                <w:sz w:val="21"/>
                <w:szCs w:val="21"/>
                <w:lang w:eastAsia="zh-CN"/>
              </w:rPr>
            </w:pPr>
            <w:r>
              <w:rPr>
                <w:rFonts w:hint="eastAsia"/>
                <w:sz w:val="21"/>
                <w:szCs w:val="21"/>
                <w:lang w:eastAsia="zh-CN"/>
              </w:rPr>
              <w:t>满足采购文件要求且投标价格最低的投标报价为评标基准价，其价格分为满分。其他投标人的价格分统一按照下列公式计算：投标报价得分=(评标基准价／投标报价)×35。（分值保留小数点后2位）</w:t>
            </w:r>
          </w:p>
          <w:p w14:paraId="212FABF5">
            <w:pPr>
              <w:pStyle w:val="19"/>
              <w:wordWrap w:val="0"/>
              <w:spacing w:before="36" w:line="300" w:lineRule="auto"/>
              <w:jc w:val="left"/>
              <w:rPr>
                <w:b/>
                <w:bCs/>
                <w:spacing w:val="-9"/>
                <w:sz w:val="21"/>
                <w:szCs w:val="21"/>
                <w:lang w:eastAsia="zh-CN"/>
              </w:rPr>
            </w:pPr>
            <w:r>
              <w:rPr>
                <w:rFonts w:hint="eastAsia"/>
                <w:sz w:val="21"/>
                <w:szCs w:val="21"/>
                <w:shd w:val="clear" w:color="auto" w:fill="FFFFFF"/>
                <w:lang w:eastAsia="zh-CN"/>
              </w:rPr>
              <w:t>注：评委认为供应商的报价明显低于其他通过符合性审查供应商的报价，有可能影响产品质量或者不能诚信履约的，应当要求其在合理的时间内提供书面说明，必要时提交相关证明材料，若供应商不能证明其报价合理性的，招投标采购小组有权将其作废标处理。</w:t>
            </w:r>
          </w:p>
        </w:tc>
        <w:tc>
          <w:tcPr>
            <w:tcW w:w="632" w:type="pct"/>
            <w:vAlign w:val="center"/>
          </w:tcPr>
          <w:p w14:paraId="19D8AFC5">
            <w:pPr>
              <w:pStyle w:val="19"/>
              <w:spacing w:before="36" w:line="220" w:lineRule="auto"/>
              <w:jc w:val="center"/>
              <w:rPr>
                <w:b/>
                <w:bCs/>
                <w:spacing w:val="-9"/>
                <w:sz w:val="21"/>
                <w:szCs w:val="21"/>
                <w:lang w:eastAsia="zh-CN"/>
              </w:rPr>
            </w:pPr>
          </w:p>
        </w:tc>
      </w:tr>
      <w:tr w14:paraId="4DAA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348" w:type="pct"/>
            <w:vAlign w:val="center"/>
          </w:tcPr>
          <w:p w14:paraId="7BF0A95B">
            <w:pPr>
              <w:pStyle w:val="19"/>
              <w:wordWrap w:val="0"/>
              <w:ind w:firstLine="210" w:firstLineChars="100"/>
              <w:rPr>
                <w:sz w:val="21"/>
                <w:szCs w:val="21"/>
                <w:lang w:eastAsia="zh-CN"/>
              </w:rPr>
            </w:pPr>
            <w:r>
              <w:rPr>
                <w:rFonts w:hint="eastAsia"/>
                <w:sz w:val="21"/>
                <w:szCs w:val="21"/>
                <w:lang w:eastAsia="zh-CN"/>
              </w:rPr>
              <w:t>2</w:t>
            </w:r>
          </w:p>
        </w:tc>
        <w:tc>
          <w:tcPr>
            <w:tcW w:w="632" w:type="pct"/>
            <w:vAlign w:val="center"/>
          </w:tcPr>
          <w:p w14:paraId="4725919A">
            <w:pPr>
              <w:pStyle w:val="19"/>
              <w:wordWrap w:val="0"/>
              <w:jc w:val="center"/>
              <w:rPr>
                <w:sz w:val="21"/>
                <w:szCs w:val="21"/>
                <w:lang w:eastAsia="zh-CN"/>
              </w:rPr>
            </w:pPr>
            <w:r>
              <w:rPr>
                <w:rFonts w:hint="eastAsia"/>
                <w:sz w:val="21"/>
                <w:szCs w:val="21"/>
                <w:lang w:eastAsia="zh-CN"/>
              </w:rPr>
              <w:t>参数偏离</w:t>
            </w:r>
          </w:p>
        </w:tc>
        <w:tc>
          <w:tcPr>
            <w:tcW w:w="391" w:type="pct"/>
            <w:vAlign w:val="center"/>
          </w:tcPr>
          <w:p w14:paraId="3BE8C452">
            <w:pPr>
              <w:pStyle w:val="19"/>
              <w:wordWrap w:val="0"/>
              <w:ind w:firstLine="210" w:firstLineChars="100"/>
              <w:rPr>
                <w:sz w:val="21"/>
                <w:szCs w:val="21"/>
                <w:lang w:eastAsia="zh-CN"/>
              </w:rPr>
            </w:pPr>
            <w:r>
              <w:rPr>
                <w:rFonts w:hint="eastAsia"/>
                <w:sz w:val="21"/>
                <w:szCs w:val="21"/>
                <w:lang w:eastAsia="zh-CN"/>
              </w:rPr>
              <w:t>30</w:t>
            </w:r>
          </w:p>
        </w:tc>
        <w:tc>
          <w:tcPr>
            <w:tcW w:w="2995" w:type="pct"/>
            <w:vAlign w:val="center"/>
          </w:tcPr>
          <w:p w14:paraId="61A790CD">
            <w:pPr>
              <w:spacing w:line="300" w:lineRule="auto"/>
              <w:rPr>
                <w:rFonts w:ascii="宋体" w:hAnsi="宋体" w:cs="宋体"/>
                <w:color w:val="000000"/>
                <w:szCs w:val="21"/>
              </w:rPr>
            </w:pPr>
            <w:r>
              <w:rPr>
                <w:rFonts w:hint="eastAsia" w:ascii="宋体" w:hAnsi="宋体" w:cs="宋体"/>
                <w:szCs w:val="21"/>
              </w:rPr>
              <w:t>根据响应文件和相关证明材料对招标文件技术参数的响应情况，对照判断所投设备是否</w:t>
            </w:r>
            <w:r>
              <w:rPr>
                <w:rFonts w:hint="eastAsia" w:ascii="宋体" w:hAnsi="宋体" w:cs="宋体"/>
                <w:spacing w:val="-6"/>
                <w:szCs w:val="21"/>
              </w:rPr>
              <w:t>满足招标文件的要求。</w:t>
            </w:r>
            <w:r>
              <w:rPr>
                <w:rFonts w:hint="eastAsia" w:ascii="宋体" w:hAnsi="宋体" w:cs="宋体"/>
                <w:color w:val="000000"/>
                <w:szCs w:val="21"/>
              </w:rPr>
              <w:t>加▲号技术指标每负偏离1项扣3分；其余技术指标每负偏离1项扣1分，扣完为止。</w:t>
            </w:r>
          </w:p>
          <w:p w14:paraId="5D05D766">
            <w:pPr>
              <w:spacing w:line="300" w:lineRule="auto"/>
              <w:rPr>
                <w:rFonts w:ascii="宋体" w:hAnsi="宋体" w:cs="宋体"/>
                <w:b/>
                <w:bCs/>
                <w:color w:val="000000"/>
                <w:szCs w:val="21"/>
              </w:rPr>
            </w:pPr>
            <w:r>
              <w:rPr>
                <w:rFonts w:hint="eastAsia" w:ascii="宋体" w:hAnsi="宋体" w:cs="宋体"/>
                <w:b/>
                <w:bCs/>
                <w:color w:val="000000"/>
                <w:szCs w:val="21"/>
              </w:rPr>
              <w:t>技术参数</w:t>
            </w:r>
            <w:r>
              <w:rPr>
                <w:rFonts w:hint="eastAsia" w:ascii="宋体" w:hAnsi="宋体" w:cs="宋体"/>
                <w:b/>
                <w:bCs/>
                <w:color w:val="000000"/>
                <w:szCs w:val="21"/>
                <w:lang w:val="en-US" w:eastAsia="zh-CN"/>
              </w:rPr>
              <w:t>标注为</w:t>
            </w:r>
            <w:r>
              <w:rPr>
                <w:rFonts w:hint="eastAsia" w:ascii="宋体" w:hAnsi="宋体" w:cs="宋体"/>
                <w:b/>
                <w:bCs/>
                <w:color w:val="000000"/>
                <w:szCs w:val="21"/>
              </w:rPr>
              <w:t>★</w:t>
            </w:r>
            <w:r>
              <w:rPr>
                <w:rFonts w:hint="eastAsia" w:ascii="宋体" w:hAnsi="宋体" w:cs="宋体"/>
                <w:b/>
                <w:bCs/>
                <w:color w:val="000000"/>
                <w:szCs w:val="21"/>
                <w:lang w:val="en-US" w:eastAsia="zh-CN"/>
              </w:rPr>
              <w:t>的</w:t>
            </w:r>
            <w:r>
              <w:rPr>
                <w:rFonts w:hint="eastAsia" w:ascii="宋体" w:hAnsi="宋体" w:cs="宋体"/>
                <w:b/>
                <w:bCs/>
                <w:color w:val="000000"/>
                <w:szCs w:val="21"/>
              </w:rPr>
              <w:t>重要参数，如有不满足即可认为无效投标。</w:t>
            </w:r>
          </w:p>
          <w:p w14:paraId="4581A917">
            <w:pPr>
              <w:pStyle w:val="2"/>
              <w:spacing w:line="300" w:lineRule="auto"/>
              <w:rPr>
                <w:rFonts w:ascii="宋体" w:hAnsi="宋体" w:cs="宋体"/>
                <w:szCs w:val="21"/>
                <w:shd w:val="clear" w:color="auto" w:fill="FFFFFF"/>
              </w:rPr>
            </w:pPr>
            <w:r>
              <w:rPr>
                <w:rFonts w:hint="eastAsia" w:ascii="宋体" w:hAnsi="宋体" w:cs="宋体"/>
              </w:rPr>
              <w:t>注：技术参数以投标人提供的技术参数响应及偏离表为准，未提供不得分，技术参数中每一条的要求为一项。</w:t>
            </w:r>
          </w:p>
        </w:tc>
        <w:tc>
          <w:tcPr>
            <w:tcW w:w="632" w:type="pct"/>
            <w:vAlign w:val="center"/>
          </w:tcPr>
          <w:p w14:paraId="1EC5F3D2">
            <w:pPr>
              <w:pStyle w:val="19"/>
              <w:spacing w:before="36" w:line="220" w:lineRule="auto"/>
              <w:jc w:val="center"/>
              <w:rPr>
                <w:b/>
                <w:bCs/>
                <w:spacing w:val="-9"/>
                <w:sz w:val="21"/>
                <w:szCs w:val="21"/>
                <w:lang w:eastAsia="zh-CN"/>
              </w:rPr>
            </w:pPr>
          </w:p>
        </w:tc>
      </w:tr>
      <w:tr w14:paraId="171EF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348" w:type="pct"/>
            <w:vAlign w:val="center"/>
          </w:tcPr>
          <w:p w14:paraId="7E016EA0">
            <w:pPr>
              <w:pStyle w:val="19"/>
              <w:wordWrap w:val="0"/>
              <w:ind w:firstLine="210" w:firstLineChars="100"/>
              <w:rPr>
                <w:sz w:val="21"/>
                <w:szCs w:val="21"/>
                <w:lang w:eastAsia="zh-CN"/>
              </w:rPr>
            </w:pPr>
            <w:r>
              <w:rPr>
                <w:rFonts w:hint="eastAsia"/>
                <w:sz w:val="21"/>
                <w:szCs w:val="21"/>
                <w:lang w:eastAsia="zh-CN"/>
              </w:rPr>
              <w:t>3</w:t>
            </w:r>
          </w:p>
        </w:tc>
        <w:tc>
          <w:tcPr>
            <w:tcW w:w="632" w:type="pct"/>
            <w:vAlign w:val="center"/>
          </w:tcPr>
          <w:p w14:paraId="4702AFAE">
            <w:pPr>
              <w:pStyle w:val="19"/>
              <w:wordWrap w:val="0"/>
              <w:jc w:val="center"/>
              <w:rPr>
                <w:sz w:val="21"/>
                <w:szCs w:val="21"/>
                <w:lang w:eastAsia="zh-CN"/>
              </w:rPr>
            </w:pPr>
            <w:r>
              <w:rPr>
                <w:rFonts w:hint="eastAsia"/>
                <w:sz w:val="21"/>
                <w:szCs w:val="21"/>
                <w:lang w:eastAsia="zh-CN"/>
              </w:rPr>
              <w:t>技术实力</w:t>
            </w:r>
          </w:p>
        </w:tc>
        <w:tc>
          <w:tcPr>
            <w:tcW w:w="391" w:type="pct"/>
            <w:vAlign w:val="center"/>
          </w:tcPr>
          <w:p w14:paraId="0144C3FC">
            <w:pPr>
              <w:pStyle w:val="19"/>
              <w:wordWrap w:val="0"/>
              <w:ind w:firstLine="210" w:firstLineChars="100"/>
              <w:rPr>
                <w:sz w:val="21"/>
                <w:szCs w:val="21"/>
                <w:lang w:eastAsia="zh-CN"/>
              </w:rPr>
            </w:pPr>
            <w:r>
              <w:rPr>
                <w:rFonts w:hint="eastAsia"/>
                <w:sz w:val="21"/>
                <w:szCs w:val="21"/>
                <w:lang w:eastAsia="zh-CN"/>
              </w:rPr>
              <w:t>8</w:t>
            </w:r>
          </w:p>
        </w:tc>
        <w:tc>
          <w:tcPr>
            <w:tcW w:w="2995" w:type="pct"/>
            <w:vAlign w:val="center"/>
          </w:tcPr>
          <w:p w14:paraId="7C3B9F80">
            <w:pPr>
              <w:spacing w:line="420" w:lineRule="exact"/>
              <w:rPr>
                <w:rFonts w:ascii="宋体" w:hAnsi="宋体" w:cs="宋体"/>
                <w:szCs w:val="21"/>
              </w:rPr>
            </w:pPr>
            <w:r>
              <w:rPr>
                <w:rFonts w:hint="eastAsia" w:ascii="宋体" w:hAnsi="宋体" w:cs="宋体"/>
                <w:szCs w:val="21"/>
              </w:rPr>
              <w:t>提供相关用户报告，须有用户盖章证明：</w:t>
            </w:r>
          </w:p>
          <w:p w14:paraId="69BC6486">
            <w:pPr>
              <w:spacing w:line="42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计算机课程</w:t>
            </w:r>
            <w:r>
              <w:rPr>
                <w:rFonts w:hint="eastAsia" w:ascii="宋体" w:hAnsi="宋体" w:cs="宋体"/>
                <w:szCs w:val="21"/>
              </w:rPr>
              <w:t>最大并发数≥1000人的，提供1家得1分，最高4分；</w:t>
            </w:r>
          </w:p>
          <w:p w14:paraId="45770034">
            <w:pPr>
              <w:spacing w:line="420" w:lineRule="exact"/>
              <w:rPr>
                <w:rFonts w:ascii="宋体" w:hAnsi="宋体" w:cs="宋体"/>
                <w:szCs w:val="21"/>
              </w:rPr>
            </w:pPr>
            <w:r>
              <w:rPr>
                <w:rFonts w:hint="eastAsia" w:ascii="宋体" w:hAnsi="宋体" w:cs="宋体"/>
                <w:szCs w:val="21"/>
              </w:rPr>
              <w:t>2.提供多课程用户报告（除计算机课程外，能包含英语、思政课等其他课程）且最高并发数能≥1500人的，提供1家得2分，最高4分。</w:t>
            </w:r>
          </w:p>
        </w:tc>
        <w:tc>
          <w:tcPr>
            <w:tcW w:w="632" w:type="pct"/>
            <w:vAlign w:val="center"/>
          </w:tcPr>
          <w:p w14:paraId="17254C0F">
            <w:pPr>
              <w:pStyle w:val="19"/>
              <w:spacing w:before="36" w:line="220" w:lineRule="auto"/>
              <w:jc w:val="center"/>
              <w:rPr>
                <w:b/>
                <w:bCs/>
                <w:spacing w:val="-9"/>
                <w:sz w:val="21"/>
                <w:szCs w:val="21"/>
                <w:lang w:eastAsia="zh-CN"/>
              </w:rPr>
            </w:pPr>
          </w:p>
        </w:tc>
      </w:tr>
      <w:tr w14:paraId="3E93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348" w:type="pct"/>
            <w:vAlign w:val="center"/>
          </w:tcPr>
          <w:p w14:paraId="2788F8DB">
            <w:pPr>
              <w:pStyle w:val="19"/>
              <w:wordWrap w:val="0"/>
              <w:ind w:firstLine="210" w:firstLineChars="100"/>
              <w:rPr>
                <w:sz w:val="21"/>
                <w:szCs w:val="21"/>
                <w:lang w:eastAsia="zh-CN"/>
              </w:rPr>
            </w:pPr>
            <w:r>
              <w:rPr>
                <w:rFonts w:hint="eastAsia"/>
                <w:sz w:val="21"/>
                <w:szCs w:val="21"/>
                <w:lang w:eastAsia="zh-CN"/>
              </w:rPr>
              <w:t>4</w:t>
            </w:r>
          </w:p>
        </w:tc>
        <w:tc>
          <w:tcPr>
            <w:tcW w:w="632" w:type="pct"/>
            <w:shd w:val="clear" w:color="auto" w:fill="auto"/>
            <w:vAlign w:val="center"/>
          </w:tcPr>
          <w:p w14:paraId="3F93F93B">
            <w:pPr>
              <w:pStyle w:val="19"/>
              <w:wordWrap w:val="0"/>
              <w:jc w:val="center"/>
              <w:rPr>
                <w:sz w:val="21"/>
                <w:szCs w:val="21"/>
                <w:lang w:eastAsia="zh-CN"/>
              </w:rPr>
            </w:pPr>
            <w:r>
              <w:rPr>
                <w:rFonts w:hint="eastAsia"/>
                <w:sz w:val="21"/>
                <w:szCs w:val="21"/>
              </w:rPr>
              <w:t>同类型业绩</w:t>
            </w:r>
          </w:p>
        </w:tc>
        <w:tc>
          <w:tcPr>
            <w:tcW w:w="391" w:type="pct"/>
            <w:shd w:val="clear" w:color="auto" w:fill="auto"/>
            <w:vAlign w:val="center"/>
          </w:tcPr>
          <w:p w14:paraId="4C92754B">
            <w:pPr>
              <w:pStyle w:val="19"/>
              <w:wordWrap w:val="0"/>
              <w:ind w:firstLine="210" w:firstLineChars="100"/>
              <w:rPr>
                <w:sz w:val="21"/>
                <w:szCs w:val="21"/>
                <w:lang w:eastAsia="zh-CN"/>
              </w:rPr>
            </w:pPr>
            <w:r>
              <w:rPr>
                <w:rFonts w:hint="eastAsia"/>
                <w:sz w:val="21"/>
                <w:szCs w:val="21"/>
                <w:lang w:eastAsia="zh-CN"/>
              </w:rPr>
              <w:t>10</w:t>
            </w:r>
          </w:p>
        </w:tc>
        <w:tc>
          <w:tcPr>
            <w:tcW w:w="2995" w:type="pct"/>
            <w:shd w:val="clear" w:color="auto" w:fill="auto"/>
            <w:vAlign w:val="center"/>
          </w:tcPr>
          <w:p w14:paraId="5C5B5552">
            <w:pPr>
              <w:pStyle w:val="19"/>
              <w:wordWrap w:val="0"/>
              <w:spacing w:line="300" w:lineRule="auto"/>
              <w:jc w:val="left"/>
              <w:rPr>
                <w:sz w:val="21"/>
                <w:szCs w:val="21"/>
                <w:lang w:eastAsia="zh-CN"/>
              </w:rPr>
            </w:pPr>
            <w:r>
              <w:rPr>
                <w:rFonts w:hint="eastAsia"/>
                <w:sz w:val="21"/>
                <w:szCs w:val="21"/>
                <w:lang w:eastAsia="zh-CN"/>
              </w:rPr>
              <w:t>提供近三年内(2022年10月1日至投标文件递交截止日前）江苏省内高校类似项目业绩。（合同需体现清晰可见的标的物，不得缺失最终用户签订的合同首页、合同金额所在页、合同签字盖章页）。</w:t>
            </w:r>
            <w:r>
              <w:rPr>
                <w:rFonts w:hint="eastAsia"/>
                <w:sz w:val="21"/>
                <w:szCs w:val="21"/>
              </w:rPr>
              <w:t>每提供一份得</w:t>
            </w:r>
            <w:r>
              <w:rPr>
                <w:rFonts w:hint="eastAsia"/>
                <w:sz w:val="21"/>
                <w:szCs w:val="21"/>
                <w:lang w:eastAsia="zh-CN"/>
              </w:rPr>
              <w:t>2</w:t>
            </w:r>
            <w:r>
              <w:rPr>
                <w:rFonts w:hint="eastAsia"/>
                <w:sz w:val="21"/>
                <w:szCs w:val="21"/>
              </w:rPr>
              <w:t>分，最高得</w:t>
            </w:r>
            <w:r>
              <w:rPr>
                <w:rFonts w:hint="eastAsia"/>
                <w:sz w:val="21"/>
                <w:szCs w:val="21"/>
                <w:lang w:eastAsia="zh-CN"/>
              </w:rPr>
              <w:t>10</w:t>
            </w:r>
            <w:r>
              <w:rPr>
                <w:rFonts w:hint="eastAsia"/>
                <w:sz w:val="21"/>
                <w:szCs w:val="21"/>
              </w:rPr>
              <w:t>分</w:t>
            </w:r>
            <w:r>
              <w:rPr>
                <w:rFonts w:hint="eastAsia"/>
                <w:sz w:val="21"/>
                <w:szCs w:val="21"/>
                <w:lang w:eastAsia="zh-CN"/>
              </w:rPr>
              <w:t>。</w:t>
            </w:r>
          </w:p>
        </w:tc>
        <w:tc>
          <w:tcPr>
            <w:tcW w:w="632" w:type="pct"/>
            <w:vAlign w:val="center"/>
          </w:tcPr>
          <w:p w14:paraId="42A6C085">
            <w:pPr>
              <w:pStyle w:val="19"/>
              <w:spacing w:before="36" w:line="220" w:lineRule="auto"/>
              <w:jc w:val="center"/>
              <w:rPr>
                <w:b/>
                <w:bCs/>
                <w:spacing w:val="-9"/>
                <w:sz w:val="21"/>
                <w:szCs w:val="21"/>
                <w:lang w:eastAsia="zh-CN"/>
              </w:rPr>
            </w:pPr>
          </w:p>
        </w:tc>
      </w:tr>
      <w:tr w14:paraId="407D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48" w:type="pct"/>
            <w:vAlign w:val="center"/>
          </w:tcPr>
          <w:p w14:paraId="71B49100">
            <w:pPr>
              <w:pStyle w:val="19"/>
              <w:wordWrap w:val="0"/>
              <w:ind w:firstLine="210" w:firstLineChars="100"/>
              <w:rPr>
                <w:sz w:val="21"/>
                <w:szCs w:val="21"/>
                <w:lang w:eastAsia="zh-CN"/>
              </w:rPr>
            </w:pPr>
            <w:r>
              <w:rPr>
                <w:rFonts w:hint="eastAsia"/>
                <w:sz w:val="21"/>
                <w:szCs w:val="21"/>
                <w:lang w:eastAsia="zh-CN"/>
              </w:rPr>
              <w:t>5</w:t>
            </w:r>
          </w:p>
        </w:tc>
        <w:tc>
          <w:tcPr>
            <w:tcW w:w="632" w:type="pct"/>
            <w:shd w:val="clear" w:color="auto" w:fill="auto"/>
            <w:vAlign w:val="center"/>
          </w:tcPr>
          <w:p w14:paraId="0D676422">
            <w:pPr>
              <w:pStyle w:val="19"/>
              <w:wordWrap w:val="0"/>
              <w:jc w:val="center"/>
              <w:rPr>
                <w:sz w:val="21"/>
                <w:szCs w:val="21"/>
                <w:lang w:eastAsia="zh-CN"/>
              </w:rPr>
            </w:pPr>
            <w:r>
              <w:rPr>
                <w:rFonts w:hint="eastAsia"/>
                <w:sz w:val="21"/>
                <w:szCs w:val="21"/>
                <w:lang w:eastAsia="zh-CN"/>
              </w:rPr>
              <w:t>实施方案、培训方案</w:t>
            </w:r>
          </w:p>
        </w:tc>
        <w:tc>
          <w:tcPr>
            <w:tcW w:w="391" w:type="pct"/>
            <w:shd w:val="clear" w:color="auto" w:fill="auto"/>
            <w:vAlign w:val="center"/>
          </w:tcPr>
          <w:p w14:paraId="3F9938FF">
            <w:pPr>
              <w:pStyle w:val="19"/>
              <w:wordWrap w:val="0"/>
              <w:jc w:val="center"/>
              <w:rPr>
                <w:sz w:val="21"/>
                <w:szCs w:val="21"/>
                <w:lang w:eastAsia="zh-CN"/>
              </w:rPr>
            </w:pPr>
            <w:r>
              <w:rPr>
                <w:rFonts w:hint="eastAsia"/>
                <w:sz w:val="21"/>
                <w:szCs w:val="21"/>
                <w:lang w:eastAsia="zh-CN"/>
              </w:rPr>
              <w:t>5</w:t>
            </w:r>
          </w:p>
        </w:tc>
        <w:tc>
          <w:tcPr>
            <w:tcW w:w="2995" w:type="pct"/>
            <w:shd w:val="clear" w:color="auto" w:fill="auto"/>
            <w:vAlign w:val="center"/>
          </w:tcPr>
          <w:p w14:paraId="4D2030A6">
            <w:pPr>
              <w:pStyle w:val="2"/>
              <w:spacing w:after="0" w:line="300" w:lineRule="auto"/>
              <w:rPr>
                <w:rFonts w:ascii="宋体" w:hAnsi="宋体" w:cs="宋体"/>
                <w:szCs w:val="21"/>
              </w:rPr>
            </w:pPr>
            <w:r>
              <w:rPr>
                <w:rFonts w:hint="eastAsia" w:ascii="宋体" w:hAnsi="宋体" w:cs="宋体"/>
                <w:szCs w:val="21"/>
              </w:rPr>
              <w:t>提供实施方案、培训计划，包括服务实施响应速度</w:t>
            </w:r>
            <w:r>
              <w:rPr>
                <w:rFonts w:hint="eastAsia" w:ascii="宋体" w:hAnsi="宋体" w:cs="宋体"/>
                <w:szCs w:val="21"/>
                <w:lang w:eastAsia="zh-CN"/>
              </w:rPr>
              <w:t>、</w:t>
            </w:r>
            <w:r>
              <w:rPr>
                <w:rFonts w:hint="eastAsia" w:ascii="宋体" w:hAnsi="宋体" w:cs="宋体"/>
                <w:szCs w:val="21"/>
              </w:rPr>
              <w:t>承诺等；</w:t>
            </w:r>
          </w:p>
          <w:p w14:paraId="06F7C896">
            <w:pPr>
              <w:pStyle w:val="2"/>
              <w:spacing w:after="0" w:line="300" w:lineRule="auto"/>
              <w:rPr>
                <w:rFonts w:ascii="宋体" w:hAnsi="宋体" w:cs="宋体"/>
                <w:szCs w:val="21"/>
              </w:rPr>
            </w:pPr>
            <w:r>
              <w:rPr>
                <w:rFonts w:hint="eastAsia" w:ascii="宋体" w:hAnsi="宋体" w:cs="宋体"/>
                <w:szCs w:val="21"/>
              </w:rPr>
              <w:t>方案完整详细、合理可行、针对性强的得5分；</w:t>
            </w:r>
          </w:p>
          <w:p w14:paraId="0F2F77D3">
            <w:pPr>
              <w:pStyle w:val="2"/>
              <w:spacing w:after="0" w:line="300" w:lineRule="auto"/>
              <w:rPr>
                <w:rFonts w:ascii="宋体" w:hAnsi="宋体" w:cs="宋体"/>
                <w:szCs w:val="21"/>
              </w:rPr>
            </w:pPr>
            <w:r>
              <w:rPr>
                <w:rFonts w:hint="eastAsia" w:ascii="宋体" w:hAnsi="宋体" w:cs="宋体"/>
                <w:szCs w:val="21"/>
              </w:rPr>
              <w:t>方案较完整详细、较合理可行、针对性较强的得3分；</w:t>
            </w:r>
          </w:p>
          <w:p w14:paraId="6825F60F">
            <w:pPr>
              <w:pStyle w:val="2"/>
              <w:spacing w:after="0" w:line="300" w:lineRule="auto"/>
              <w:rPr>
                <w:rFonts w:ascii="宋体" w:hAnsi="宋体" w:cs="宋体"/>
                <w:szCs w:val="21"/>
              </w:rPr>
            </w:pPr>
            <w:r>
              <w:rPr>
                <w:rFonts w:hint="eastAsia" w:ascii="宋体" w:hAnsi="宋体" w:cs="宋体"/>
                <w:szCs w:val="21"/>
              </w:rPr>
              <w:t>方案基本完整、可行，基本满足采购人需求的得1分；</w:t>
            </w:r>
          </w:p>
          <w:p w14:paraId="0D7CCFA0">
            <w:pPr>
              <w:pStyle w:val="2"/>
              <w:spacing w:after="0" w:line="300" w:lineRule="auto"/>
              <w:rPr>
                <w:rFonts w:ascii="宋体" w:hAnsi="宋体" w:cs="宋体"/>
                <w:szCs w:val="21"/>
              </w:rPr>
            </w:pPr>
            <w:r>
              <w:rPr>
                <w:rFonts w:hint="eastAsia" w:ascii="宋体" w:hAnsi="宋体" w:cs="宋体"/>
                <w:szCs w:val="21"/>
              </w:rPr>
              <w:t>不提供或者方案不可行则不得分。</w:t>
            </w:r>
          </w:p>
        </w:tc>
        <w:tc>
          <w:tcPr>
            <w:tcW w:w="632" w:type="pct"/>
            <w:vAlign w:val="center"/>
          </w:tcPr>
          <w:p w14:paraId="05E00209">
            <w:pPr>
              <w:pStyle w:val="19"/>
              <w:spacing w:before="36" w:line="220" w:lineRule="auto"/>
              <w:jc w:val="center"/>
              <w:rPr>
                <w:b/>
                <w:bCs/>
                <w:spacing w:val="-9"/>
                <w:sz w:val="21"/>
                <w:szCs w:val="21"/>
                <w:lang w:eastAsia="zh-CN"/>
              </w:rPr>
            </w:pPr>
          </w:p>
        </w:tc>
      </w:tr>
      <w:tr w14:paraId="7659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48" w:type="pct"/>
            <w:vAlign w:val="center"/>
          </w:tcPr>
          <w:p w14:paraId="4A77876D">
            <w:pPr>
              <w:pStyle w:val="19"/>
              <w:wordWrap w:val="0"/>
              <w:ind w:firstLine="210" w:firstLineChars="100"/>
              <w:rPr>
                <w:sz w:val="21"/>
                <w:szCs w:val="21"/>
                <w:lang w:eastAsia="zh-CN"/>
              </w:rPr>
            </w:pPr>
            <w:r>
              <w:rPr>
                <w:rFonts w:hint="eastAsia"/>
                <w:sz w:val="21"/>
                <w:szCs w:val="21"/>
                <w:lang w:eastAsia="zh-CN"/>
              </w:rPr>
              <w:t>6</w:t>
            </w:r>
          </w:p>
        </w:tc>
        <w:tc>
          <w:tcPr>
            <w:tcW w:w="632" w:type="pct"/>
            <w:shd w:val="clear" w:color="auto" w:fill="auto"/>
            <w:vAlign w:val="center"/>
          </w:tcPr>
          <w:p w14:paraId="7774C702">
            <w:pPr>
              <w:pStyle w:val="19"/>
              <w:wordWrap w:val="0"/>
              <w:jc w:val="center"/>
              <w:rPr>
                <w:sz w:val="21"/>
                <w:szCs w:val="21"/>
                <w:highlight w:val="yellow"/>
                <w:lang w:eastAsia="zh-CN"/>
              </w:rPr>
            </w:pPr>
            <w:r>
              <w:rPr>
                <w:rFonts w:hint="eastAsia"/>
                <w:sz w:val="21"/>
                <w:szCs w:val="21"/>
                <w:lang w:eastAsia="zh-CN"/>
              </w:rPr>
              <w:t>售后服务承诺</w:t>
            </w:r>
          </w:p>
        </w:tc>
        <w:tc>
          <w:tcPr>
            <w:tcW w:w="391" w:type="pct"/>
            <w:shd w:val="clear" w:color="auto" w:fill="auto"/>
            <w:vAlign w:val="center"/>
          </w:tcPr>
          <w:p w14:paraId="2902B095">
            <w:pPr>
              <w:pStyle w:val="19"/>
              <w:wordWrap w:val="0"/>
              <w:jc w:val="center"/>
              <w:rPr>
                <w:sz w:val="21"/>
                <w:szCs w:val="21"/>
                <w:lang w:eastAsia="zh-CN"/>
              </w:rPr>
            </w:pPr>
            <w:r>
              <w:rPr>
                <w:rFonts w:hint="eastAsia"/>
                <w:sz w:val="21"/>
                <w:szCs w:val="21"/>
                <w:lang w:eastAsia="zh-CN"/>
              </w:rPr>
              <w:t>5</w:t>
            </w:r>
          </w:p>
        </w:tc>
        <w:tc>
          <w:tcPr>
            <w:tcW w:w="2995" w:type="pct"/>
            <w:shd w:val="clear" w:color="auto" w:fill="auto"/>
            <w:vAlign w:val="center"/>
          </w:tcPr>
          <w:p w14:paraId="43BC8855">
            <w:pPr>
              <w:pStyle w:val="2"/>
              <w:spacing w:after="0" w:line="300" w:lineRule="auto"/>
              <w:rPr>
                <w:rFonts w:ascii="宋体" w:hAnsi="宋体" w:cs="宋体"/>
                <w:szCs w:val="21"/>
              </w:rPr>
            </w:pPr>
            <w:r>
              <w:rPr>
                <w:rFonts w:hint="eastAsia" w:ascii="宋体" w:hAnsi="宋体" w:cs="宋体"/>
                <w:szCs w:val="21"/>
              </w:rPr>
              <w:t>提供全面、完善的售后服务方案及承诺，包括售后免费升级服务（升级项目包括平台及资源升级）、增值服务等。</w:t>
            </w:r>
          </w:p>
          <w:p w14:paraId="783B1E38">
            <w:pPr>
              <w:spacing w:line="300" w:lineRule="auto"/>
              <w:rPr>
                <w:rFonts w:ascii="宋体" w:hAnsi="宋体" w:cs="宋体"/>
                <w:szCs w:val="21"/>
              </w:rPr>
            </w:pPr>
            <w:r>
              <w:rPr>
                <w:rFonts w:hint="eastAsia" w:ascii="宋体" w:hAnsi="宋体" w:cs="宋体"/>
                <w:szCs w:val="21"/>
              </w:rPr>
              <w:t>方案完整详细、合理可行、针对性强的得5分；</w:t>
            </w:r>
          </w:p>
          <w:p w14:paraId="72CE62FD">
            <w:pPr>
              <w:spacing w:line="300" w:lineRule="auto"/>
              <w:rPr>
                <w:rFonts w:ascii="宋体" w:hAnsi="宋体" w:cs="宋体"/>
                <w:szCs w:val="21"/>
              </w:rPr>
            </w:pPr>
            <w:r>
              <w:rPr>
                <w:rFonts w:hint="eastAsia" w:ascii="宋体" w:hAnsi="宋体" w:cs="宋体"/>
                <w:szCs w:val="21"/>
              </w:rPr>
              <w:t>方案较完整详细、较合理可行、针对性较强的得3分；</w:t>
            </w:r>
          </w:p>
          <w:p w14:paraId="715D535B">
            <w:pPr>
              <w:spacing w:line="300" w:lineRule="auto"/>
              <w:rPr>
                <w:rFonts w:ascii="宋体" w:hAnsi="宋体" w:cs="宋体"/>
                <w:szCs w:val="21"/>
              </w:rPr>
            </w:pPr>
            <w:r>
              <w:rPr>
                <w:rFonts w:hint="eastAsia" w:ascii="宋体" w:hAnsi="宋体" w:cs="宋体"/>
                <w:szCs w:val="21"/>
              </w:rPr>
              <w:t>方案基本完整、可行，基本满足采购人需求的得1分；</w:t>
            </w:r>
          </w:p>
          <w:p w14:paraId="17542448">
            <w:pPr>
              <w:pStyle w:val="2"/>
              <w:spacing w:after="0" w:line="300" w:lineRule="auto"/>
              <w:rPr>
                <w:rFonts w:ascii="宋体" w:hAnsi="宋体" w:cs="宋体"/>
                <w:szCs w:val="21"/>
              </w:rPr>
            </w:pPr>
            <w:r>
              <w:rPr>
                <w:rFonts w:hint="eastAsia"/>
                <w:szCs w:val="21"/>
              </w:rPr>
              <w:t>不提供或者方案不可行则不得分。</w:t>
            </w:r>
          </w:p>
        </w:tc>
        <w:tc>
          <w:tcPr>
            <w:tcW w:w="632" w:type="pct"/>
            <w:vAlign w:val="center"/>
          </w:tcPr>
          <w:p w14:paraId="11425B32">
            <w:pPr>
              <w:pStyle w:val="19"/>
              <w:spacing w:before="36" w:line="220" w:lineRule="auto"/>
              <w:jc w:val="center"/>
              <w:rPr>
                <w:b/>
                <w:bCs/>
                <w:spacing w:val="-9"/>
                <w:sz w:val="21"/>
                <w:szCs w:val="21"/>
                <w:lang w:eastAsia="zh-CN"/>
              </w:rPr>
            </w:pPr>
          </w:p>
        </w:tc>
      </w:tr>
      <w:tr w14:paraId="6EFC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48" w:type="pct"/>
            <w:vAlign w:val="center"/>
          </w:tcPr>
          <w:p w14:paraId="56BDA1A4">
            <w:pPr>
              <w:pStyle w:val="19"/>
              <w:wordWrap w:val="0"/>
              <w:ind w:firstLine="210" w:firstLineChars="100"/>
              <w:rPr>
                <w:sz w:val="21"/>
                <w:szCs w:val="21"/>
                <w:lang w:eastAsia="zh-CN"/>
              </w:rPr>
            </w:pPr>
            <w:r>
              <w:rPr>
                <w:rFonts w:hint="eastAsia"/>
                <w:sz w:val="21"/>
                <w:szCs w:val="21"/>
                <w:lang w:eastAsia="zh-CN"/>
              </w:rPr>
              <w:t>7</w:t>
            </w:r>
          </w:p>
        </w:tc>
        <w:tc>
          <w:tcPr>
            <w:tcW w:w="632" w:type="pct"/>
            <w:shd w:val="clear" w:color="auto" w:fill="auto"/>
            <w:vAlign w:val="center"/>
          </w:tcPr>
          <w:p w14:paraId="27414AE0">
            <w:pPr>
              <w:pStyle w:val="19"/>
              <w:wordWrap w:val="0"/>
              <w:jc w:val="center"/>
              <w:rPr>
                <w:sz w:val="21"/>
                <w:szCs w:val="21"/>
                <w:lang w:eastAsia="zh-CN"/>
              </w:rPr>
            </w:pPr>
            <w:r>
              <w:rPr>
                <w:rFonts w:hint="eastAsia"/>
                <w:sz w:val="21"/>
                <w:szCs w:val="21"/>
                <w:lang w:eastAsia="zh-CN"/>
              </w:rPr>
              <w:t>安全保障方案</w:t>
            </w:r>
          </w:p>
        </w:tc>
        <w:tc>
          <w:tcPr>
            <w:tcW w:w="391" w:type="pct"/>
            <w:shd w:val="clear" w:color="auto" w:fill="auto"/>
            <w:vAlign w:val="center"/>
          </w:tcPr>
          <w:p w14:paraId="6864BBC5">
            <w:pPr>
              <w:pStyle w:val="19"/>
              <w:wordWrap w:val="0"/>
              <w:ind w:firstLine="210" w:firstLineChars="100"/>
              <w:rPr>
                <w:sz w:val="21"/>
                <w:szCs w:val="21"/>
                <w:lang w:eastAsia="zh-CN"/>
              </w:rPr>
            </w:pPr>
            <w:r>
              <w:rPr>
                <w:rFonts w:hint="eastAsia"/>
                <w:sz w:val="21"/>
                <w:szCs w:val="21"/>
                <w:lang w:eastAsia="zh-CN"/>
              </w:rPr>
              <w:t>5</w:t>
            </w:r>
          </w:p>
        </w:tc>
        <w:tc>
          <w:tcPr>
            <w:tcW w:w="2995" w:type="pct"/>
            <w:shd w:val="clear" w:color="auto" w:fill="auto"/>
            <w:vAlign w:val="center"/>
          </w:tcPr>
          <w:p w14:paraId="1E9B4ACD">
            <w:pPr>
              <w:spacing w:line="300" w:lineRule="auto"/>
              <w:rPr>
                <w:rFonts w:ascii="宋体" w:hAnsi="宋体" w:cs="宋体"/>
                <w:szCs w:val="21"/>
              </w:rPr>
            </w:pPr>
            <w:r>
              <w:rPr>
                <w:rFonts w:hint="eastAsia" w:ascii="宋体" w:hAnsi="宋体" w:cs="宋体"/>
                <w:szCs w:val="21"/>
              </w:rPr>
              <w:t>提供服务器安全方案，包括应用程序及数据库安全，有数据备份及灾备方案。</w:t>
            </w:r>
          </w:p>
          <w:p w14:paraId="7DB5DEFA">
            <w:pPr>
              <w:spacing w:line="300" w:lineRule="auto"/>
              <w:rPr>
                <w:rFonts w:ascii="宋体" w:hAnsi="宋体" w:cs="宋体"/>
                <w:szCs w:val="21"/>
              </w:rPr>
            </w:pPr>
            <w:r>
              <w:rPr>
                <w:rFonts w:hint="eastAsia" w:ascii="宋体" w:hAnsi="宋体" w:cs="宋体"/>
                <w:szCs w:val="21"/>
              </w:rPr>
              <w:t>方案完整详细、合理可行、针对性强的得5分；</w:t>
            </w:r>
          </w:p>
          <w:p w14:paraId="583CA3F8">
            <w:pPr>
              <w:spacing w:line="300" w:lineRule="auto"/>
              <w:rPr>
                <w:rFonts w:ascii="宋体" w:hAnsi="宋体" w:cs="宋体"/>
                <w:szCs w:val="21"/>
              </w:rPr>
            </w:pPr>
            <w:r>
              <w:rPr>
                <w:rFonts w:hint="eastAsia" w:ascii="宋体" w:hAnsi="宋体" w:cs="宋体"/>
                <w:szCs w:val="21"/>
              </w:rPr>
              <w:t>方案较完整详细、较合理可行、针对性较强的得3分；</w:t>
            </w:r>
          </w:p>
          <w:p w14:paraId="5F7D4EE0">
            <w:pPr>
              <w:spacing w:line="300" w:lineRule="auto"/>
              <w:rPr>
                <w:rFonts w:ascii="宋体" w:hAnsi="宋体" w:cs="宋体"/>
                <w:szCs w:val="21"/>
              </w:rPr>
            </w:pPr>
            <w:r>
              <w:rPr>
                <w:rFonts w:hint="eastAsia" w:ascii="宋体" w:hAnsi="宋体" w:cs="宋体"/>
                <w:szCs w:val="21"/>
              </w:rPr>
              <w:t>方案基本完整、可行，基本满足采购人需求的得1分；</w:t>
            </w:r>
          </w:p>
          <w:p w14:paraId="59B12577">
            <w:pPr>
              <w:pStyle w:val="19"/>
              <w:spacing w:line="300" w:lineRule="auto"/>
              <w:jc w:val="left"/>
              <w:rPr>
                <w:sz w:val="21"/>
                <w:szCs w:val="21"/>
                <w:lang w:eastAsia="zh-CN"/>
              </w:rPr>
            </w:pPr>
            <w:r>
              <w:rPr>
                <w:rFonts w:hint="eastAsia"/>
                <w:sz w:val="21"/>
                <w:szCs w:val="21"/>
                <w:lang w:eastAsia="zh-CN"/>
              </w:rPr>
              <w:t>不提供或者方案不可行则不得分。</w:t>
            </w:r>
          </w:p>
        </w:tc>
        <w:tc>
          <w:tcPr>
            <w:tcW w:w="632" w:type="pct"/>
            <w:vAlign w:val="center"/>
          </w:tcPr>
          <w:p w14:paraId="490FB32F">
            <w:pPr>
              <w:pStyle w:val="19"/>
              <w:wordWrap w:val="0"/>
              <w:jc w:val="center"/>
              <w:rPr>
                <w:sz w:val="21"/>
                <w:szCs w:val="21"/>
                <w:lang w:eastAsia="zh-CN"/>
              </w:rPr>
            </w:pPr>
          </w:p>
        </w:tc>
      </w:tr>
      <w:tr w14:paraId="7C09C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48" w:type="pct"/>
            <w:vAlign w:val="center"/>
          </w:tcPr>
          <w:p w14:paraId="53845BC2">
            <w:pPr>
              <w:pStyle w:val="19"/>
              <w:wordWrap w:val="0"/>
              <w:ind w:firstLine="210" w:firstLineChars="100"/>
              <w:rPr>
                <w:sz w:val="21"/>
                <w:szCs w:val="21"/>
                <w:lang w:eastAsia="zh-CN"/>
              </w:rPr>
            </w:pPr>
            <w:r>
              <w:rPr>
                <w:rFonts w:hint="eastAsia"/>
                <w:sz w:val="21"/>
                <w:szCs w:val="21"/>
                <w:lang w:eastAsia="zh-CN"/>
              </w:rPr>
              <w:t>8</w:t>
            </w:r>
          </w:p>
        </w:tc>
        <w:tc>
          <w:tcPr>
            <w:tcW w:w="632" w:type="pct"/>
            <w:shd w:val="clear" w:color="auto" w:fill="auto"/>
            <w:vAlign w:val="center"/>
          </w:tcPr>
          <w:p w14:paraId="2C705E25">
            <w:pPr>
              <w:pStyle w:val="19"/>
              <w:wordWrap w:val="0"/>
              <w:jc w:val="center"/>
              <w:rPr>
                <w:sz w:val="21"/>
                <w:szCs w:val="21"/>
                <w:lang w:eastAsia="zh-CN"/>
              </w:rPr>
            </w:pPr>
            <w:r>
              <w:rPr>
                <w:rFonts w:hint="eastAsia"/>
                <w:sz w:val="21"/>
                <w:szCs w:val="21"/>
                <w:lang w:eastAsia="zh-CN"/>
              </w:rPr>
              <w:t>本地化服务</w:t>
            </w:r>
          </w:p>
        </w:tc>
        <w:tc>
          <w:tcPr>
            <w:tcW w:w="391" w:type="pct"/>
            <w:shd w:val="clear" w:color="auto" w:fill="auto"/>
            <w:vAlign w:val="center"/>
          </w:tcPr>
          <w:p w14:paraId="26D88AC7">
            <w:pPr>
              <w:pStyle w:val="19"/>
              <w:wordWrap w:val="0"/>
              <w:ind w:firstLine="210" w:firstLineChars="100"/>
              <w:rPr>
                <w:sz w:val="21"/>
                <w:szCs w:val="21"/>
                <w:lang w:eastAsia="zh-CN"/>
              </w:rPr>
            </w:pPr>
            <w:r>
              <w:rPr>
                <w:rFonts w:hint="eastAsia"/>
                <w:sz w:val="21"/>
                <w:szCs w:val="21"/>
                <w:lang w:eastAsia="zh-CN"/>
              </w:rPr>
              <w:t>2</w:t>
            </w:r>
          </w:p>
        </w:tc>
        <w:tc>
          <w:tcPr>
            <w:tcW w:w="2995" w:type="pct"/>
            <w:shd w:val="clear" w:color="auto" w:fill="auto"/>
            <w:vAlign w:val="center"/>
          </w:tcPr>
          <w:p w14:paraId="7EE84DA7">
            <w:pPr>
              <w:pStyle w:val="19"/>
              <w:wordWrap w:val="0"/>
              <w:spacing w:line="300" w:lineRule="auto"/>
              <w:rPr>
                <w:sz w:val="21"/>
                <w:szCs w:val="21"/>
                <w:lang w:eastAsia="zh-CN"/>
              </w:rPr>
            </w:pPr>
            <w:r>
              <w:rPr>
                <w:rFonts w:hint="eastAsia"/>
                <w:sz w:val="21"/>
                <w:szCs w:val="21"/>
                <w:lang w:eastAsia="zh-CN"/>
              </w:rPr>
              <w:t>南京本地有常设机构，随时响应。（以工商注册为准）</w:t>
            </w:r>
          </w:p>
        </w:tc>
        <w:tc>
          <w:tcPr>
            <w:tcW w:w="632" w:type="pct"/>
            <w:vAlign w:val="center"/>
          </w:tcPr>
          <w:p w14:paraId="02F688D5">
            <w:pPr>
              <w:pStyle w:val="19"/>
              <w:wordWrap w:val="0"/>
              <w:jc w:val="center"/>
              <w:rPr>
                <w:sz w:val="21"/>
                <w:szCs w:val="21"/>
                <w:lang w:eastAsia="zh-CN"/>
              </w:rPr>
            </w:pPr>
          </w:p>
        </w:tc>
      </w:tr>
    </w:tbl>
    <w:p w14:paraId="749CB14D">
      <w:pPr>
        <w:rPr>
          <w:rFonts w:ascii="宋体" w:hAnsi="宋体"/>
          <w:sz w:val="28"/>
          <w:szCs w:val="28"/>
        </w:rPr>
      </w:pPr>
    </w:p>
    <w:p w14:paraId="01CF4CFC">
      <w:pPr>
        <w:pStyle w:val="2"/>
        <w:rPr>
          <w:rFonts w:ascii="宋体" w:hAnsi="宋体"/>
          <w:sz w:val="28"/>
          <w:szCs w:val="28"/>
        </w:rPr>
      </w:pPr>
    </w:p>
    <w:p w14:paraId="429D649B">
      <w:pPr>
        <w:pStyle w:val="2"/>
        <w:rPr>
          <w:rFonts w:ascii="宋体" w:hAnsi="宋体"/>
          <w:sz w:val="28"/>
          <w:szCs w:val="28"/>
        </w:rPr>
      </w:pPr>
    </w:p>
    <w:p w14:paraId="2B326964">
      <w:pPr>
        <w:pStyle w:val="2"/>
        <w:rPr>
          <w:rFonts w:ascii="宋体" w:hAnsi="宋体"/>
          <w:sz w:val="28"/>
          <w:szCs w:val="28"/>
        </w:rPr>
      </w:pPr>
    </w:p>
    <w:p w14:paraId="2F64014D">
      <w:pPr>
        <w:pStyle w:val="2"/>
        <w:rPr>
          <w:rFonts w:ascii="宋体" w:hAnsi="宋体"/>
          <w:sz w:val="28"/>
          <w:szCs w:val="28"/>
        </w:rPr>
      </w:pPr>
    </w:p>
    <w:p w14:paraId="7B755183">
      <w:pPr>
        <w:pStyle w:val="2"/>
        <w:rPr>
          <w:rFonts w:ascii="宋体" w:hAnsi="宋体"/>
          <w:sz w:val="28"/>
          <w:szCs w:val="28"/>
        </w:rPr>
      </w:pPr>
    </w:p>
    <w:p w14:paraId="6EC9DA8C">
      <w:pPr>
        <w:pStyle w:val="2"/>
        <w:rPr>
          <w:rFonts w:ascii="宋体" w:hAnsi="宋体"/>
          <w:sz w:val="28"/>
          <w:szCs w:val="28"/>
        </w:rPr>
      </w:pPr>
    </w:p>
    <w:p w14:paraId="57CD47C3">
      <w:pPr>
        <w:pStyle w:val="2"/>
        <w:rPr>
          <w:rFonts w:ascii="宋体" w:hAnsi="宋体"/>
          <w:sz w:val="28"/>
          <w:szCs w:val="28"/>
        </w:rPr>
      </w:pPr>
    </w:p>
    <w:p w14:paraId="1CCD7214">
      <w:pPr>
        <w:pStyle w:val="2"/>
        <w:rPr>
          <w:rFonts w:ascii="宋体" w:hAnsi="宋体"/>
          <w:sz w:val="28"/>
          <w:szCs w:val="28"/>
        </w:rPr>
      </w:pPr>
    </w:p>
    <w:p w14:paraId="37C3A7E5">
      <w:pPr>
        <w:pStyle w:val="2"/>
        <w:rPr>
          <w:rFonts w:ascii="宋体" w:hAnsi="宋体"/>
          <w:sz w:val="28"/>
          <w:szCs w:val="28"/>
        </w:rPr>
      </w:pPr>
    </w:p>
    <w:p w14:paraId="7C5793DD">
      <w:pPr>
        <w:pStyle w:val="2"/>
        <w:rPr>
          <w:rFonts w:ascii="宋体" w:hAnsi="宋体"/>
          <w:sz w:val="28"/>
          <w:szCs w:val="28"/>
        </w:rPr>
        <w:sectPr>
          <w:pgSz w:w="11906" w:h="16838"/>
          <w:pgMar w:top="1440" w:right="1797" w:bottom="1440" w:left="1797" w:header="851" w:footer="992" w:gutter="0"/>
          <w:cols w:space="720" w:num="1"/>
          <w:docGrid w:type="linesAndChars" w:linePitch="312" w:charSpace="0"/>
        </w:sectPr>
      </w:pPr>
    </w:p>
    <w:p w14:paraId="0A22DBCB">
      <w:pPr>
        <w:adjustRightInd w:val="0"/>
        <w:snapToGrid w:val="0"/>
        <w:spacing w:line="300" w:lineRule="auto"/>
        <w:rPr>
          <w:rFonts w:ascii="宋体"/>
          <w:sz w:val="24"/>
        </w:rPr>
      </w:pPr>
      <w:r>
        <w:rPr>
          <w:rFonts w:hint="eastAsia" w:ascii="宋体"/>
          <w:sz w:val="24"/>
        </w:rPr>
        <w:t>附件五：</w:t>
      </w:r>
    </w:p>
    <w:p w14:paraId="3E949901">
      <w:pPr>
        <w:pStyle w:val="2"/>
        <w:jc w:val="center"/>
        <w:rPr>
          <w:rFonts w:ascii="宋体" w:hAnsi="宋体" w:cs="宋体"/>
          <w:b/>
          <w:bCs/>
          <w:sz w:val="32"/>
          <w:szCs w:val="32"/>
        </w:rPr>
      </w:pPr>
      <w:r>
        <w:rPr>
          <w:rFonts w:hint="eastAsia" w:ascii="宋体" w:hAnsi="宋体" w:cs="宋体"/>
          <w:b/>
          <w:bCs/>
          <w:sz w:val="32"/>
          <w:szCs w:val="32"/>
        </w:rPr>
        <w:t>技术条款偏离表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297"/>
        <w:gridCol w:w="7341"/>
        <w:gridCol w:w="1710"/>
        <w:gridCol w:w="1890"/>
        <w:gridCol w:w="1312"/>
      </w:tblGrid>
      <w:tr w14:paraId="3F51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4" w:type="dxa"/>
            <w:vAlign w:val="center"/>
          </w:tcPr>
          <w:p w14:paraId="3DF35DB9">
            <w:pPr>
              <w:spacing w:line="440" w:lineRule="exact"/>
              <w:jc w:val="center"/>
              <w:rPr>
                <w:szCs w:val="21"/>
              </w:rPr>
            </w:pPr>
            <w:r>
              <w:rPr>
                <w:rFonts w:hint="eastAsia"/>
                <w:szCs w:val="21"/>
              </w:rPr>
              <w:t>序号</w:t>
            </w:r>
          </w:p>
        </w:tc>
        <w:tc>
          <w:tcPr>
            <w:tcW w:w="1297" w:type="dxa"/>
            <w:vAlign w:val="center"/>
          </w:tcPr>
          <w:p w14:paraId="74815123">
            <w:pPr>
              <w:adjustRightInd w:val="0"/>
              <w:snapToGrid w:val="0"/>
              <w:spacing w:line="300" w:lineRule="auto"/>
              <w:jc w:val="center"/>
              <w:rPr>
                <w:rFonts w:ascii="宋体" w:hAnsi="宋体"/>
                <w:szCs w:val="21"/>
              </w:rPr>
            </w:pPr>
            <w:r>
              <w:rPr>
                <w:rFonts w:hint="eastAsia" w:ascii="宋体" w:hAnsi="宋体"/>
                <w:szCs w:val="21"/>
              </w:rPr>
              <w:t>内容</w:t>
            </w:r>
          </w:p>
        </w:tc>
        <w:tc>
          <w:tcPr>
            <w:tcW w:w="7341" w:type="dxa"/>
            <w:vAlign w:val="center"/>
          </w:tcPr>
          <w:p w14:paraId="259C751E">
            <w:pPr>
              <w:adjustRightInd w:val="0"/>
              <w:snapToGrid w:val="0"/>
              <w:spacing w:line="300" w:lineRule="auto"/>
              <w:jc w:val="center"/>
              <w:rPr>
                <w:rFonts w:ascii="宋体" w:hAnsi="宋体"/>
                <w:szCs w:val="21"/>
              </w:rPr>
            </w:pPr>
            <w:r>
              <w:rPr>
                <w:rFonts w:hint="eastAsia" w:ascii="宋体" w:hAnsi="宋体"/>
                <w:szCs w:val="21"/>
              </w:rPr>
              <w:t>招标文件技术参数要求</w:t>
            </w:r>
          </w:p>
        </w:tc>
        <w:tc>
          <w:tcPr>
            <w:tcW w:w="1710" w:type="dxa"/>
            <w:vAlign w:val="center"/>
          </w:tcPr>
          <w:p w14:paraId="6800DE96">
            <w:pPr>
              <w:spacing w:line="440" w:lineRule="exact"/>
              <w:jc w:val="center"/>
              <w:rPr>
                <w:szCs w:val="21"/>
              </w:rPr>
            </w:pPr>
            <w:r>
              <w:rPr>
                <w:rFonts w:hint="eastAsia"/>
                <w:szCs w:val="21"/>
              </w:rPr>
              <w:t>投标人</w:t>
            </w:r>
            <w:r>
              <w:rPr>
                <w:szCs w:val="21"/>
              </w:rPr>
              <w:t>的承诺或说明</w:t>
            </w:r>
            <w:r>
              <w:rPr>
                <w:rFonts w:hint="eastAsia"/>
                <w:szCs w:val="21"/>
              </w:rPr>
              <w:t>（完全响应/正偏离/负偏离）</w:t>
            </w:r>
          </w:p>
        </w:tc>
        <w:tc>
          <w:tcPr>
            <w:tcW w:w="1890" w:type="dxa"/>
            <w:vAlign w:val="center"/>
          </w:tcPr>
          <w:p w14:paraId="3E544B68">
            <w:pPr>
              <w:spacing w:line="440" w:lineRule="exact"/>
              <w:jc w:val="center"/>
              <w:rPr>
                <w:szCs w:val="21"/>
              </w:rPr>
            </w:pPr>
            <w:r>
              <w:rPr>
                <w:rFonts w:hint="eastAsia"/>
                <w:szCs w:val="21"/>
              </w:rPr>
              <w:t>负偏离情况说明</w:t>
            </w:r>
          </w:p>
        </w:tc>
        <w:tc>
          <w:tcPr>
            <w:tcW w:w="1312" w:type="dxa"/>
            <w:vAlign w:val="center"/>
          </w:tcPr>
          <w:p w14:paraId="57B6745C">
            <w:pPr>
              <w:spacing w:line="440" w:lineRule="exact"/>
              <w:jc w:val="center"/>
              <w:rPr>
                <w:szCs w:val="21"/>
              </w:rPr>
            </w:pPr>
            <w:r>
              <w:rPr>
                <w:rFonts w:hint="eastAsia"/>
                <w:szCs w:val="21"/>
              </w:rPr>
              <w:t>响应证明材料的具体页码</w:t>
            </w:r>
          </w:p>
        </w:tc>
      </w:tr>
      <w:tr w14:paraId="4CA0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2C7CBB1">
            <w:pPr>
              <w:spacing w:line="440" w:lineRule="exact"/>
              <w:jc w:val="center"/>
              <w:rPr>
                <w:rFonts w:ascii="宋体" w:hAnsi="宋体" w:cs="宋体"/>
                <w:szCs w:val="21"/>
              </w:rPr>
            </w:pPr>
            <w:r>
              <w:rPr>
                <w:rFonts w:hint="eastAsia" w:ascii="宋体" w:hAnsi="宋体" w:cs="宋体"/>
                <w:szCs w:val="21"/>
              </w:rPr>
              <w:t>1</w:t>
            </w:r>
          </w:p>
        </w:tc>
        <w:tc>
          <w:tcPr>
            <w:tcW w:w="1297" w:type="dxa"/>
            <w:vAlign w:val="center"/>
          </w:tcPr>
          <w:p w14:paraId="7BE025BF">
            <w:pPr>
              <w:adjustRightInd w:val="0"/>
              <w:snapToGrid w:val="0"/>
              <w:spacing w:line="300" w:lineRule="auto"/>
              <w:jc w:val="center"/>
              <w:rPr>
                <w:rFonts w:ascii="宋体" w:hAnsi="宋体" w:cs="宋体"/>
                <w:szCs w:val="21"/>
              </w:rPr>
            </w:pPr>
            <w:r>
              <w:rPr>
                <w:rFonts w:hint="eastAsia" w:ascii="宋体" w:hAnsi="宋体" w:cs="宋体"/>
                <w:szCs w:val="21"/>
              </w:rPr>
              <w:t>平台架构及安装环境</w:t>
            </w:r>
          </w:p>
        </w:tc>
        <w:tc>
          <w:tcPr>
            <w:tcW w:w="7341" w:type="dxa"/>
            <w:vAlign w:val="center"/>
          </w:tcPr>
          <w:p w14:paraId="3001FA41">
            <w:pPr>
              <w:adjustRightInd w:val="0"/>
              <w:snapToGrid w:val="0"/>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1）系统架构：保证系统安全、稳定，系统需采用Client/Server（客户端/服务器）架构。</w:t>
            </w:r>
          </w:p>
          <w:p w14:paraId="5011A3E6">
            <w:pPr>
              <w:adjustRightInd w:val="0"/>
              <w:snapToGrid w:val="0"/>
              <w:spacing w:line="300" w:lineRule="auto"/>
              <w:rPr>
                <w:rFonts w:ascii="宋体" w:hAnsi="宋体" w:cs="宋体"/>
                <w:szCs w:val="21"/>
              </w:rPr>
            </w:pPr>
            <w:r>
              <w:rPr>
                <w:rFonts w:hint="eastAsia" w:ascii="宋体" w:hAnsi="宋体" w:cs="宋体"/>
                <w:szCs w:val="21"/>
              </w:rPr>
              <w:t>2）服务器操作系统支持Windows Server 2008及以上服务器操作系统。</w:t>
            </w:r>
          </w:p>
          <w:p w14:paraId="52F40F56">
            <w:pPr>
              <w:adjustRightInd w:val="0"/>
              <w:snapToGrid w:val="0"/>
              <w:spacing w:line="300" w:lineRule="auto"/>
              <w:rPr>
                <w:rFonts w:ascii="宋体" w:hAnsi="宋体" w:cs="宋体"/>
                <w:szCs w:val="21"/>
              </w:rPr>
            </w:pPr>
            <w:r>
              <w:rPr>
                <w:rFonts w:hint="eastAsia" w:ascii="宋体" w:hAnsi="宋体" w:cs="宋体"/>
                <w:szCs w:val="21"/>
              </w:rPr>
              <w:t>3）服务器数据库支持Microsoft SQL Server 2008及以上数据库。</w:t>
            </w:r>
          </w:p>
          <w:p w14:paraId="68BB1DFF">
            <w:pPr>
              <w:adjustRightInd w:val="0"/>
              <w:snapToGrid w:val="0"/>
              <w:spacing w:line="300" w:lineRule="auto"/>
              <w:rPr>
                <w:rFonts w:ascii="宋体" w:hAnsi="宋体" w:cs="宋体"/>
                <w:szCs w:val="21"/>
              </w:rPr>
            </w:pPr>
            <w:r>
              <w:rPr>
                <w:rFonts w:hint="eastAsia" w:ascii="宋体" w:hAnsi="宋体" w:cs="宋体"/>
                <w:szCs w:val="21"/>
              </w:rPr>
              <w:t>4）客户端操作系统支持Windows 7、Windows 10、Windows 11。</w:t>
            </w:r>
          </w:p>
          <w:p w14:paraId="5EBE41DE">
            <w:pPr>
              <w:adjustRightInd w:val="0"/>
              <w:snapToGrid w:val="0"/>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5）相关工具要求：提供独立数据备份工具、独立题库导入。</w:t>
            </w:r>
          </w:p>
        </w:tc>
        <w:tc>
          <w:tcPr>
            <w:tcW w:w="1710" w:type="dxa"/>
            <w:vAlign w:val="center"/>
          </w:tcPr>
          <w:p w14:paraId="50FF96F8">
            <w:pPr>
              <w:spacing w:line="440" w:lineRule="exact"/>
              <w:jc w:val="center"/>
              <w:rPr>
                <w:szCs w:val="21"/>
              </w:rPr>
            </w:pPr>
          </w:p>
        </w:tc>
        <w:tc>
          <w:tcPr>
            <w:tcW w:w="1890" w:type="dxa"/>
            <w:vAlign w:val="center"/>
          </w:tcPr>
          <w:p w14:paraId="3EF45862">
            <w:pPr>
              <w:spacing w:line="440" w:lineRule="exact"/>
              <w:jc w:val="center"/>
              <w:rPr>
                <w:szCs w:val="21"/>
              </w:rPr>
            </w:pPr>
          </w:p>
        </w:tc>
        <w:tc>
          <w:tcPr>
            <w:tcW w:w="1312" w:type="dxa"/>
            <w:vAlign w:val="center"/>
          </w:tcPr>
          <w:p w14:paraId="742D1A83">
            <w:pPr>
              <w:spacing w:line="440" w:lineRule="exact"/>
              <w:jc w:val="center"/>
              <w:rPr>
                <w:szCs w:val="21"/>
              </w:rPr>
            </w:pPr>
          </w:p>
        </w:tc>
      </w:tr>
      <w:tr w14:paraId="1512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2660272C">
            <w:pPr>
              <w:spacing w:line="440" w:lineRule="exact"/>
              <w:jc w:val="center"/>
              <w:rPr>
                <w:rFonts w:ascii="宋体" w:hAnsi="宋体" w:cs="宋体"/>
                <w:szCs w:val="21"/>
              </w:rPr>
            </w:pPr>
            <w:r>
              <w:rPr>
                <w:rFonts w:hint="eastAsia" w:ascii="宋体" w:hAnsi="宋体" w:cs="宋体"/>
                <w:szCs w:val="21"/>
              </w:rPr>
              <w:t>2</w:t>
            </w:r>
          </w:p>
        </w:tc>
        <w:tc>
          <w:tcPr>
            <w:tcW w:w="1297" w:type="dxa"/>
            <w:vAlign w:val="center"/>
          </w:tcPr>
          <w:p w14:paraId="43D8F6B3">
            <w:pPr>
              <w:adjustRightInd w:val="0"/>
              <w:snapToGrid w:val="0"/>
              <w:spacing w:line="300" w:lineRule="auto"/>
              <w:jc w:val="center"/>
              <w:rPr>
                <w:rFonts w:ascii="宋体" w:hAnsi="宋体" w:cs="宋体"/>
                <w:szCs w:val="21"/>
              </w:rPr>
            </w:pPr>
            <w:r>
              <w:rPr>
                <w:rFonts w:hint="eastAsia" w:ascii="宋体" w:hAnsi="宋体" w:cs="宋体"/>
                <w:szCs w:val="21"/>
              </w:rPr>
              <w:t>平台考试管理功能</w:t>
            </w:r>
          </w:p>
        </w:tc>
        <w:tc>
          <w:tcPr>
            <w:tcW w:w="7341" w:type="dxa"/>
            <w:vAlign w:val="center"/>
          </w:tcPr>
          <w:p w14:paraId="4A821F53">
            <w:pPr>
              <w:adjustRightInd w:val="0"/>
              <w:snapToGrid w:val="0"/>
              <w:spacing w:line="300" w:lineRule="auto"/>
              <w:rPr>
                <w:rFonts w:ascii="宋体" w:hAnsi="宋体" w:cs="宋体"/>
                <w:szCs w:val="21"/>
              </w:rPr>
            </w:pPr>
            <w:r>
              <w:rPr>
                <w:rFonts w:hint="eastAsia" w:ascii="宋体" w:hAnsi="宋体" w:cs="宋体"/>
                <w:szCs w:val="21"/>
              </w:rPr>
              <w:t>1）能进行考试相关的各种参数设置，即时监控考试过程，支持考生信息查看、登录监控、信息备份、成绩导出等。</w:t>
            </w:r>
          </w:p>
          <w:p w14:paraId="036B2541">
            <w:pPr>
              <w:adjustRightInd w:val="0"/>
              <w:snapToGrid w:val="0"/>
              <w:spacing w:line="300" w:lineRule="auto"/>
              <w:rPr>
                <w:rFonts w:ascii="宋体" w:hAnsi="宋体" w:cs="宋体"/>
                <w:szCs w:val="21"/>
              </w:rPr>
            </w:pPr>
            <w:r>
              <w:rPr>
                <w:rFonts w:hint="eastAsia" w:ascii="宋体" w:hAnsi="宋体" w:cs="宋体"/>
                <w:szCs w:val="21"/>
              </w:rPr>
              <w:t>▲2）支持单一学号多模式登录。</w:t>
            </w:r>
          </w:p>
          <w:p w14:paraId="6F470BE2">
            <w:pPr>
              <w:adjustRightInd w:val="0"/>
              <w:snapToGrid w:val="0"/>
              <w:spacing w:line="300" w:lineRule="auto"/>
              <w:rPr>
                <w:rFonts w:ascii="宋体" w:hAnsi="宋体" w:cs="宋体"/>
                <w:szCs w:val="21"/>
              </w:rPr>
            </w:pPr>
            <w:r>
              <w:rPr>
                <w:rFonts w:hint="eastAsia" w:ascii="宋体" w:hAnsi="宋体" w:cs="宋体"/>
                <w:szCs w:val="21"/>
              </w:rPr>
              <w:t>▲3）支持大规模考试及测试任务安排，后台不作任何调整，同一学号支持数千人同时对一个方案的多次测试。</w:t>
            </w:r>
          </w:p>
          <w:p w14:paraId="6C691A77">
            <w:pPr>
              <w:adjustRightInd w:val="0"/>
              <w:snapToGrid w:val="0"/>
              <w:spacing w:line="300" w:lineRule="auto"/>
              <w:rPr>
                <w:rFonts w:ascii="宋体" w:hAnsi="宋体" w:cs="宋体"/>
                <w:szCs w:val="21"/>
              </w:rPr>
            </w:pPr>
            <w:r>
              <w:rPr>
                <w:rFonts w:hint="eastAsia" w:ascii="宋体" w:hAnsi="宋体" w:cs="宋体"/>
                <w:szCs w:val="21"/>
              </w:rPr>
              <w:t>4）同平台下支持多科课程及多种考核模式交叉运行及同时校验。</w:t>
            </w:r>
          </w:p>
          <w:p w14:paraId="77D48CB5">
            <w:pPr>
              <w:adjustRightInd w:val="0"/>
              <w:snapToGrid w:val="0"/>
              <w:spacing w:line="300" w:lineRule="auto"/>
              <w:rPr>
                <w:rFonts w:ascii="宋体" w:hAnsi="宋体" w:cs="宋体"/>
                <w:szCs w:val="21"/>
              </w:rPr>
            </w:pPr>
            <w:r>
              <w:rPr>
                <w:rFonts w:hint="eastAsia" w:ascii="宋体" w:hAnsi="宋体" w:cs="宋体"/>
                <w:szCs w:val="21"/>
              </w:rPr>
              <w:t>5）可设定考点端考试时长、监考密码。是否二次异地登录、支持场次时间段登录、支持考前签名功能。支持二次登录时，试题顺序不变，保留已经操作的内容。</w:t>
            </w:r>
          </w:p>
          <w:p w14:paraId="45C39E3D">
            <w:pPr>
              <w:adjustRightInd w:val="0"/>
              <w:snapToGrid w:val="0"/>
              <w:spacing w:line="300" w:lineRule="auto"/>
              <w:rPr>
                <w:rFonts w:ascii="宋体" w:hAnsi="宋体" w:cs="宋体"/>
                <w:szCs w:val="21"/>
              </w:rPr>
            </w:pPr>
            <w:r>
              <w:rPr>
                <w:rFonts w:hint="eastAsia" w:ascii="宋体" w:hAnsi="宋体" w:cs="宋体"/>
                <w:szCs w:val="21"/>
              </w:rPr>
              <w:t>6）考试端学生交卷后所有数据加密处理，不可修改，非解密软件打开其它任意方式打开加密文件，加密文件失效。</w:t>
            </w:r>
          </w:p>
          <w:p w14:paraId="2C593E4B">
            <w:pPr>
              <w:adjustRightInd w:val="0"/>
              <w:snapToGrid w:val="0"/>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7）考试端加密上传详细操作日志功能，记录学生作答机器IP及计算机名、学生选择作答试题时间、切换试题时间、交卷时间等。考点端可对学生进行强制收卷、标记违纪、更换机器等操作。多层加密。通过专有动态密钥解密后方可进行考试。</w:t>
            </w:r>
          </w:p>
          <w:p w14:paraId="257AC36F">
            <w:pPr>
              <w:adjustRightInd w:val="0"/>
              <w:snapToGrid w:val="0"/>
              <w:spacing w:line="300" w:lineRule="auto"/>
              <w:rPr>
                <w:rFonts w:ascii="宋体" w:hAnsi="宋体" w:cs="宋体"/>
                <w:szCs w:val="21"/>
              </w:rPr>
            </w:pPr>
            <w:r>
              <w:rPr>
                <w:rFonts w:hint="eastAsia" w:ascii="宋体" w:hAnsi="宋体" w:cs="宋体"/>
                <w:szCs w:val="21"/>
              </w:rPr>
              <w:t>8）作业模式可设置作答“次数”的范围可以设置指定次数（例如只能作答1、3、9次），每次作答的“时间间隔”可以设置（比如两次作答时间间隔不得少于1周）。</w:t>
            </w:r>
          </w:p>
          <w:p w14:paraId="2FF91EC0">
            <w:pPr>
              <w:adjustRightInd w:val="0"/>
              <w:snapToGrid w:val="0"/>
              <w:spacing w:line="300" w:lineRule="auto"/>
              <w:rPr>
                <w:rFonts w:ascii="宋体" w:hAnsi="宋体" w:cs="宋体"/>
                <w:szCs w:val="21"/>
              </w:rPr>
            </w:pPr>
            <w:r>
              <w:rPr>
                <w:rFonts w:hint="eastAsia" w:ascii="宋体" w:hAnsi="宋体" w:cs="宋体"/>
                <w:szCs w:val="21"/>
              </w:rPr>
              <w:t>9）学生可以针对老师开放作业模式方案作答前预约场次，每场次可设定预约人数限制。</w:t>
            </w:r>
          </w:p>
          <w:p w14:paraId="621258D0">
            <w:pPr>
              <w:adjustRightInd w:val="0"/>
              <w:snapToGrid w:val="0"/>
              <w:spacing w:line="300" w:lineRule="auto"/>
              <w:rPr>
                <w:rFonts w:ascii="宋体" w:hAnsi="宋体" w:cs="宋体"/>
                <w:szCs w:val="21"/>
              </w:rPr>
            </w:pPr>
            <w:r>
              <w:rPr>
                <w:rFonts w:hint="eastAsia" w:ascii="宋体" w:hAnsi="宋体" w:cs="宋体"/>
                <w:szCs w:val="21"/>
              </w:rPr>
              <w:t>▲10）客户端支持禁止共享文件夹，禁止U盘使用功能，支持限制QQ等聊天工具，支持限制网页进行等防作弊功能。</w:t>
            </w:r>
          </w:p>
          <w:p w14:paraId="4D55BD8A">
            <w:pPr>
              <w:adjustRightInd w:val="0"/>
              <w:snapToGrid w:val="0"/>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11）支持office数据防作弊处理，支持以下级别：Ⅰ级：有效检测客户端登录IP、机器名、MAC等信息，做到换机及登录识别，直接切断学生私自更换电脑替考等情况。Ⅱ级：客户端考试文件有效检测，能快速识别学生文件及文件夹是否为复制粘贴的拷贝文件，进行作弊标记处理。</w:t>
            </w:r>
          </w:p>
          <w:p w14:paraId="04AF7861">
            <w:pPr>
              <w:adjustRightInd w:val="0"/>
              <w:snapToGrid w:val="0"/>
              <w:spacing w:line="300" w:lineRule="auto"/>
              <w:rPr>
                <w:rFonts w:ascii="宋体" w:hAnsi="宋体" w:cs="宋体"/>
                <w:szCs w:val="21"/>
              </w:rPr>
            </w:pPr>
            <w:r>
              <w:rPr>
                <w:rFonts w:hint="eastAsia" w:ascii="宋体" w:hAnsi="宋体" w:cs="宋体"/>
                <w:szCs w:val="21"/>
              </w:rPr>
              <w:t>12）满足多个课程、多个方案在同一时段运行，可以分别限制时间，实现对参加考试的学生进行考场、考试时间的安排，使学生只能在规定的时间、考场进行考试，错过规定的时间系统不允许考试。</w:t>
            </w:r>
          </w:p>
          <w:p w14:paraId="341C5408">
            <w:pPr>
              <w:adjustRightInd w:val="0"/>
              <w:snapToGrid w:val="0"/>
              <w:spacing w:line="300" w:lineRule="auto"/>
              <w:rPr>
                <w:rFonts w:ascii="宋体" w:hAnsi="宋体" w:cs="宋体"/>
                <w:szCs w:val="21"/>
              </w:rPr>
            </w:pPr>
            <w:r>
              <w:rPr>
                <w:rFonts w:hint="eastAsia" w:ascii="宋体" w:hAnsi="宋体" w:cs="宋体"/>
                <w:szCs w:val="21"/>
              </w:rPr>
              <w:t>13）同一学号支持多个课程考试，不需要每次考试都设置学号，且考试完成后不需要频繁导入导出数据和信息。</w:t>
            </w:r>
          </w:p>
          <w:p w14:paraId="67E1F302">
            <w:pPr>
              <w:adjustRightInd w:val="0"/>
              <w:snapToGrid w:val="0"/>
              <w:spacing w:line="300" w:lineRule="auto"/>
              <w:rPr>
                <w:rFonts w:ascii="宋体" w:hAnsi="宋体" w:cs="宋体"/>
                <w:szCs w:val="21"/>
              </w:rPr>
            </w:pPr>
            <w:r>
              <w:rPr>
                <w:rFonts w:hint="eastAsia" w:ascii="宋体" w:hAnsi="宋体" w:cs="宋体"/>
                <w:szCs w:val="21"/>
              </w:rPr>
              <w:t>14）系统满足作业、模拟练习和正式考试需要，支持作业、考试和练习多种模式在同一时段运行，在考生较多、机器较少的情况下可以设置场次进行考试。</w:t>
            </w:r>
          </w:p>
          <w:p w14:paraId="13540B32">
            <w:pPr>
              <w:adjustRightInd w:val="0"/>
              <w:snapToGrid w:val="0"/>
              <w:spacing w:line="300" w:lineRule="auto"/>
              <w:rPr>
                <w:rFonts w:ascii="宋体" w:hAnsi="宋体" w:cs="宋体"/>
                <w:szCs w:val="21"/>
              </w:rPr>
            </w:pPr>
            <w:r>
              <w:rPr>
                <w:rFonts w:hint="eastAsia" w:ascii="宋体" w:hAnsi="宋体" w:cs="宋体"/>
                <w:szCs w:val="21"/>
              </w:rPr>
              <w:t>15）教师可轻松地管理分配学生的教学任务，可以按班级或者自由组合。教师可以浏览学生学习和完成作业的情况。</w:t>
            </w:r>
          </w:p>
          <w:p w14:paraId="7D807DD6">
            <w:pPr>
              <w:adjustRightInd w:val="0"/>
              <w:snapToGrid w:val="0"/>
              <w:spacing w:line="300" w:lineRule="auto"/>
              <w:rPr>
                <w:rFonts w:ascii="宋体" w:hAnsi="宋体" w:cs="宋体"/>
                <w:szCs w:val="21"/>
              </w:rPr>
            </w:pPr>
            <w:r>
              <w:rPr>
                <w:rFonts w:hint="eastAsia" w:ascii="宋体" w:hAnsi="宋体" w:cs="宋体"/>
                <w:szCs w:val="21"/>
              </w:rPr>
              <w:t>16）支持作业管理全部流程，用户打开管理端即可完成全部操作。包括：布置作业、完成作业、批改作业、成绩统计等等。</w:t>
            </w:r>
          </w:p>
          <w:p w14:paraId="658830F1">
            <w:pPr>
              <w:adjustRightInd w:val="0"/>
              <w:snapToGrid w:val="0"/>
              <w:spacing w:line="300" w:lineRule="auto"/>
              <w:rPr>
                <w:rFonts w:ascii="宋体" w:hAnsi="宋体" w:cs="宋体"/>
                <w:szCs w:val="21"/>
              </w:rPr>
            </w:pPr>
            <w:r>
              <w:rPr>
                <w:rFonts w:hint="eastAsia" w:ascii="宋体" w:hAnsi="宋体" w:cs="宋体"/>
                <w:szCs w:val="21"/>
              </w:rPr>
              <w:t>17）可支持在线测试，教师将定义好的综合或者专项测评试卷定义后，发布给学生，即可完成自主测评的过程。</w:t>
            </w:r>
          </w:p>
          <w:p w14:paraId="16F3B1A1">
            <w:pPr>
              <w:adjustRightInd w:val="0"/>
              <w:snapToGrid w:val="0"/>
              <w:spacing w:line="300" w:lineRule="auto"/>
              <w:rPr>
                <w:rFonts w:ascii="宋体" w:hAnsi="宋体" w:cs="宋体"/>
                <w:szCs w:val="21"/>
              </w:rPr>
            </w:pPr>
            <w:r>
              <w:rPr>
                <w:rFonts w:hint="eastAsia" w:ascii="宋体" w:hAnsi="宋体" w:cs="宋体"/>
                <w:szCs w:val="21"/>
              </w:rPr>
              <w:t>18）教师上传各种教师视频、音频、文档等，供学生在线浏览、学习、浏览等。</w:t>
            </w:r>
          </w:p>
        </w:tc>
        <w:tc>
          <w:tcPr>
            <w:tcW w:w="1710" w:type="dxa"/>
            <w:vAlign w:val="center"/>
          </w:tcPr>
          <w:p w14:paraId="23F577FD">
            <w:pPr>
              <w:spacing w:line="440" w:lineRule="exact"/>
              <w:jc w:val="center"/>
              <w:rPr>
                <w:szCs w:val="21"/>
              </w:rPr>
            </w:pPr>
          </w:p>
        </w:tc>
        <w:tc>
          <w:tcPr>
            <w:tcW w:w="1890" w:type="dxa"/>
            <w:vAlign w:val="center"/>
          </w:tcPr>
          <w:p w14:paraId="6B92F19F">
            <w:pPr>
              <w:spacing w:line="440" w:lineRule="exact"/>
              <w:jc w:val="center"/>
              <w:rPr>
                <w:szCs w:val="21"/>
              </w:rPr>
            </w:pPr>
          </w:p>
        </w:tc>
        <w:tc>
          <w:tcPr>
            <w:tcW w:w="1312" w:type="dxa"/>
            <w:vAlign w:val="center"/>
          </w:tcPr>
          <w:p w14:paraId="1BE7C5BF">
            <w:pPr>
              <w:spacing w:line="440" w:lineRule="exact"/>
              <w:jc w:val="center"/>
              <w:rPr>
                <w:szCs w:val="21"/>
              </w:rPr>
            </w:pPr>
          </w:p>
        </w:tc>
      </w:tr>
      <w:tr w14:paraId="5B5B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36C98E2">
            <w:pPr>
              <w:spacing w:line="440" w:lineRule="exact"/>
              <w:jc w:val="center"/>
              <w:rPr>
                <w:rFonts w:ascii="宋体" w:hAnsi="宋体" w:cs="宋体"/>
                <w:szCs w:val="21"/>
              </w:rPr>
            </w:pPr>
            <w:r>
              <w:rPr>
                <w:rFonts w:hint="eastAsia" w:ascii="宋体" w:hAnsi="宋体" w:cs="宋体"/>
                <w:szCs w:val="21"/>
              </w:rPr>
              <w:t>3</w:t>
            </w:r>
          </w:p>
        </w:tc>
        <w:tc>
          <w:tcPr>
            <w:tcW w:w="1297" w:type="dxa"/>
            <w:vAlign w:val="center"/>
          </w:tcPr>
          <w:p w14:paraId="770557F3">
            <w:pPr>
              <w:adjustRightInd w:val="0"/>
              <w:snapToGrid w:val="0"/>
              <w:spacing w:line="300" w:lineRule="auto"/>
              <w:jc w:val="center"/>
              <w:rPr>
                <w:rFonts w:ascii="宋体" w:hAnsi="宋体" w:cs="宋体"/>
                <w:szCs w:val="21"/>
              </w:rPr>
            </w:pPr>
            <w:r>
              <w:rPr>
                <w:rFonts w:hint="eastAsia" w:ascii="宋体" w:hAnsi="宋体" w:cs="宋体"/>
                <w:szCs w:val="21"/>
              </w:rPr>
              <w:t>平台题库管理功能</w:t>
            </w:r>
          </w:p>
        </w:tc>
        <w:tc>
          <w:tcPr>
            <w:tcW w:w="7341" w:type="dxa"/>
            <w:vAlign w:val="center"/>
          </w:tcPr>
          <w:p w14:paraId="54CD136A">
            <w:pPr>
              <w:spacing w:line="300" w:lineRule="auto"/>
              <w:rPr>
                <w:rFonts w:ascii="宋体" w:hAnsi="宋体" w:cs="宋体"/>
                <w:szCs w:val="21"/>
              </w:rPr>
            </w:pPr>
            <w:r>
              <w:rPr>
                <w:rFonts w:hint="eastAsia" w:ascii="宋体" w:hAnsi="宋体" w:cs="宋体"/>
                <w:szCs w:val="21"/>
              </w:rPr>
              <w:t>1）题库建设支持自定义章节，学校可根据自身学科内容，创建自有知识点章节，章节知识点内容可自由编辑修改，真正实现独立开放性操作。</w:t>
            </w:r>
          </w:p>
          <w:p w14:paraId="3BE4004D">
            <w:pPr>
              <w:spacing w:line="300" w:lineRule="auto"/>
              <w:rPr>
                <w:rFonts w:ascii="宋体" w:hAnsi="宋体" w:cs="宋体"/>
                <w:szCs w:val="21"/>
              </w:rPr>
            </w:pPr>
            <w:r>
              <w:rPr>
                <w:rFonts w:hint="eastAsia" w:ascii="宋体" w:hAnsi="宋体" w:cs="宋体"/>
                <w:szCs w:val="21"/>
              </w:rPr>
              <w:t>2）可按照章节、类别等结构树建设，满足知识点覆盖面全的要求。</w:t>
            </w:r>
          </w:p>
          <w:p w14:paraId="34EC59EC">
            <w:pPr>
              <w:spacing w:line="300" w:lineRule="auto"/>
              <w:rPr>
                <w:rFonts w:ascii="宋体" w:hAnsi="宋体" w:cs="宋体"/>
                <w:szCs w:val="21"/>
              </w:rPr>
            </w:pPr>
            <w:r>
              <w:rPr>
                <w:rFonts w:hint="eastAsia" w:ascii="宋体" w:hAnsi="宋体" w:cs="宋体"/>
                <w:szCs w:val="21"/>
              </w:rPr>
              <w:t>3）试题类型及难易度划分：要求系统支持难易度分为 难-中-易，试题可分类别及难易度储存试题，自动区分。</w:t>
            </w:r>
          </w:p>
          <w:p w14:paraId="6A42854E">
            <w:pPr>
              <w:spacing w:line="300" w:lineRule="auto"/>
              <w:rPr>
                <w:rFonts w:ascii="宋体" w:hAnsi="宋体" w:cs="宋体"/>
                <w:szCs w:val="21"/>
              </w:rPr>
            </w:pPr>
            <w:r>
              <w:rPr>
                <w:rFonts w:hint="eastAsia" w:ascii="宋体" w:hAnsi="宋体" w:cs="宋体"/>
                <w:szCs w:val="21"/>
              </w:rPr>
              <w:t>▲4）提供试题解析功能，单个试题支持独立添加解析。</w:t>
            </w:r>
          </w:p>
          <w:p w14:paraId="1500E19F">
            <w:pPr>
              <w:spacing w:line="300" w:lineRule="auto"/>
              <w:rPr>
                <w:rFonts w:ascii="宋体" w:hAnsi="宋体" w:cs="宋体"/>
                <w:szCs w:val="21"/>
              </w:rPr>
            </w:pPr>
            <w:r>
              <w:rPr>
                <w:rFonts w:hint="eastAsia" w:ascii="宋体" w:hAnsi="宋体" w:cs="宋体"/>
                <w:szCs w:val="21"/>
              </w:rPr>
              <w:t>5）支持自动化批量导入功能，系统提供专业模板选择一键导入，同时可按照创建的章节知识点节点定向导入。</w:t>
            </w:r>
          </w:p>
          <w:p w14:paraId="5DDC53E5">
            <w:pPr>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6）支持批量一键复制功能、批量修改章节功能、批量锁定解锁功能、批量分配试题编辑权限（分配试题给相应教师后，方可独立编辑修改）、题号快速定位功能。</w:t>
            </w:r>
          </w:p>
          <w:p w14:paraId="688B6ECD">
            <w:pPr>
              <w:spacing w:line="300" w:lineRule="auto"/>
              <w:rPr>
                <w:rFonts w:ascii="宋体" w:hAnsi="宋体" w:cs="宋体"/>
                <w:szCs w:val="21"/>
              </w:rPr>
            </w:pPr>
            <w:r>
              <w:rPr>
                <w:rFonts w:hint="eastAsia" w:ascii="宋体" w:hAnsi="宋体" w:cs="宋体"/>
                <w:szCs w:val="21"/>
              </w:rPr>
              <w:t>▲</w:t>
            </w:r>
            <w:r>
              <w:rPr>
                <w:rFonts w:hint="eastAsia" w:ascii="宋体" w:hAnsi="宋体" w:cs="宋体"/>
              </w:rPr>
              <w:t>7）支持表格题型，可自由设置表格行数和列数，设置表格显示和隐藏行标题、列标题，支持按单元格、行数、列数比例计分的评分策略。</w:t>
            </w:r>
          </w:p>
        </w:tc>
        <w:tc>
          <w:tcPr>
            <w:tcW w:w="1710" w:type="dxa"/>
            <w:vAlign w:val="center"/>
          </w:tcPr>
          <w:p w14:paraId="4F932773">
            <w:pPr>
              <w:spacing w:line="440" w:lineRule="exact"/>
              <w:jc w:val="center"/>
              <w:rPr>
                <w:szCs w:val="21"/>
              </w:rPr>
            </w:pPr>
          </w:p>
        </w:tc>
        <w:tc>
          <w:tcPr>
            <w:tcW w:w="1890" w:type="dxa"/>
            <w:vAlign w:val="center"/>
          </w:tcPr>
          <w:p w14:paraId="2210453A">
            <w:pPr>
              <w:spacing w:line="440" w:lineRule="exact"/>
              <w:jc w:val="center"/>
              <w:rPr>
                <w:szCs w:val="21"/>
              </w:rPr>
            </w:pPr>
          </w:p>
        </w:tc>
        <w:tc>
          <w:tcPr>
            <w:tcW w:w="1312" w:type="dxa"/>
            <w:vAlign w:val="center"/>
          </w:tcPr>
          <w:p w14:paraId="54B68F04">
            <w:pPr>
              <w:spacing w:line="440" w:lineRule="exact"/>
              <w:jc w:val="center"/>
              <w:rPr>
                <w:szCs w:val="21"/>
              </w:rPr>
            </w:pPr>
          </w:p>
        </w:tc>
      </w:tr>
      <w:tr w14:paraId="4BE3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EDC4E84">
            <w:pPr>
              <w:spacing w:line="440" w:lineRule="exact"/>
              <w:jc w:val="center"/>
              <w:rPr>
                <w:rFonts w:ascii="宋体" w:hAnsi="宋体" w:cs="宋体"/>
                <w:szCs w:val="21"/>
              </w:rPr>
            </w:pPr>
            <w:r>
              <w:rPr>
                <w:rFonts w:hint="eastAsia" w:ascii="宋体" w:hAnsi="宋体" w:cs="宋体"/>
                <w:szCs w:val="21"/>
              </w:rPr>
              <w:t>4</w:t>
            </w:r>
          </w:p>
        </w:tc>
        <w:tc>
          <w:tcPr>
            <w:tcW w:w="1297" w:type="dxa"/>
            <w:vAlign w:val="center"/>
          </w:tcPr>
          <w:p w14:paraId="191DAD59">
            <w:pPr>
              <w:adjustRightInd w:val="0"/>
              <w:snapToGrid w:val="0"/>
              <w:spacing w:line="300" w:lineRule="auto"/>
              <w:jc w:val="center"/>
              <w:rPr>
                <w:rFonts w:ascii="宋体" w:hAnsi="宋体" w:cs="宋体"/>
                <w:szCs w:val="21"/>
              </w:rPr>
            </w:pPr>
            <w:r>
              <w:rPr>
                <w:rFonts w:hint="eastAsia" w:ascii="宋体" w:hAnsi="宋体" w:cs="宋体"/>
                <w:szCs w:val="21"/>
              </w:rPr>
              <w:t>平台试卷管理功能</w:t>
            </w:r>
          </w:p>
        </w:tc>
        <w:tc>
          <w:tcPr>
            <w:tcW w:w="7341" w:type="dxa"/>
            <w:vAlign w:val="center"/>
          </w:tcPr>
          <w:p w14:paraId="05D117FD">
            <w:pPr>
              <w:adjustRightInd w:val="0"/>
              <w:snapToGrid w:val="0"/>
              <w:spacing w:line="300" w:lineRule="auto"/>
              <w:rPr>
                <w:rFonts w:ascii="宋体" w:hAnsi="宋体" w:cs="宋体"/>
                <w:szCs w:val="21"/>
              </w:rPr>
            </w:pPr>
            <w:r>
              <w:rPr>
                <w:rFonts w:hint="eastAsia" w:ascii="宋体" w:hAnsi="宋体" w:cs="宋体"/>
                <w:szCs w:val="21"/>
              </w:rPr>
              <w:t>1）平台组卷时能将权限内所有科目及题型呈现给组卷教师，教师根据需求选择科目及题型。</w:t>
            </w:r>
          </w:p>
          <w:p w14:paraId="50AF8B53">
            <w:pPr>
              <w:adjustRightInd w:val="0"/>
              <w:snapToGrid w:val="0"/>
              <w:spacing w:line="300" w:lineRule="auto"/>
              <w:rPr>
                <w:rFonts w:ascii="宋体" w:hAnsi="宋体" w:cs="宋体"/>
                <w:szCs w:val="21"/>
              </w:rPr>
            </w:pPr>
            <w:r>
              <w:rPr>
                <w:rFonts w:hint="eastAsia" w:ascii="宋体" w:hAnsi="宋体" w:cs="宋体"/>
                <w:szCs w:val="21"/>
              </w:rPr>
              <w:t>2）试题管理在不改变原节点试题情况下，可复制试题到其他节点下进行随机及选题组卷。</w:t>
            </w:r>
          </w:p>
          <w:p w14:paraId="572114AD">
            <w:pPr>
              <w:adjustRightInd w:val="0"/>
              <w:snapToGrid w:val="0"/>
              <w:spacing w:line="300" w:lineRule="auto"/>
              <w:rPr>
                <w:rFonts w:ascii="宋体" w:hAnsi="宋体" w:cs="宋体"/>
                <w:szCs w:val="21"/>
              </w:rPr>
            </w:pPr>
            <w:r>
              <w:rPr>
                <w:rFonts w:hint="eastAsia" w:ascii="宋体" w:hAnsi="宋体" w:cs="宋体"/>
                <w:szCs w:val="21"/>
              </w:rPr>
              <w:t>3）试题题型自定义选择：教师可根据所选科目下列举题型，快速定位题型下的各个章节知识点及难易度适中的试题。</w:t>
            </w:r>
          </w:p>
          <w:p w14:paraId="2DEC87A1">
            <w:pPr>
              <w:adjustRightInd w:val="0"/>
              <w:snapToGrid w:val="0"/>
              <w:spacing w:line="300" w:lineRule="auto"/>
              <w:rPr>
                <w:rFonts w:ascii="宋体" w:hAnsi="宋体" w:cs="宋体"/>
                <w:szCs w:val="21"/>
              </w:rPr>
            </w:pPr>
            <w:r>
              <w:rPr>
                <w:rFonts w:hint="eastAsia" w:ascii="宋体" w:hAnsi="宋体" w:cs="宋体"/>
                <w:szCs w:val="21"/>
              </w:rPr>
              <w:t>4）根据科目考试需求及题型要求，自定义考试规则，定向抽取试题，可一键生成百张试卷。</w:t>
            </w:r>
          </w:p>
          <w:p w14:paraId="2D77DBEB">
            <w:pPr>
              <w:adjustRightInd w:val="0"/>
              <w:snapToGrid w:val="0"/>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5）试卷抽取模式：系统可将试卷定义AB卷、场次试卷、场次AB卷、随机试卷等多种形式试卷，方便学生抽取；学生可按照试卷随机抽取、按照学号轮序抽取、按照AB卷抽取，同时试卷中可打乱试题及题型顺序生成不同试卷功能。</w:t>
            </w:r>
          </w:p>
          <w:p w14:paraId="158E14DD">
            <w:pPr>
              <w:adjustRightInd w:val="0"/>
              <w:snapToGrid w:val="0"/>
              <w:spacing w:line="300" w:lineRule="auto"/>
              <w:rPr>
                <w:rFonts w:ascii="宋体" w:hAnsi="宋体" w:cs="宋体"/>
                <w:szCs w:val="21"/>
              </w:rPr>
            </w:pPr>
            <w:r>
              <w:rPr>
                <w:rFonts w:hint="eastAsia" w:ascii="宋体" w:hAnsi="宋体" w:cs="宋体"/>
                <w:szCs w:val="21"/>
              </w:rPr>
              <w:t>6）可以按照课程根据学科、年级、自由选择试题组卷，也可以选择完整的试卷，在线进行测评，交卷后，查看答题情况和试题讲解。</w:t>
            </w:r>
          </w:p>
          <w:p w14:paraId="53D218BC">
            <w:pPr>
              <w:adjustRightInd w:val="0"/>
              <w:snapToGrid w:val="0"/>
              <w:spacing w:line="300" w:lineRule="auto"/>
              <w:rPr>
                <w:rFonts w:ascii="宋体" w:hAnsi="宋体" w:cs="宋体"/>
                <w:szCs w:val="21"/>
              </w:rPr>
            </w:pPr>
            <w:r>
              <w:rPr>
                <w:rFonts w:hint="eastAsia" w:ascii="宋体" w:hAnsi="宋体" w:cs="宋体"/>
                <w:szCs w:val="21"/>
              </w:rPr>
              <w:t>7）支持创建公开和私有的试卷方案，公开方案其他非创建者都可以使用。</w:t>
            </w:r>
          </w:p>
          <w:p w14:paraId="4895AEF8">
            <w:pPr>
              <w:adjustRightInd w:val="0"/>
              <w:snapToGrid w:val="0"/>
              <w:spacing w:line="300" w:lineRule="auto"/>
              <w:rPr>
                <w:rFonts w:ascii="宋体" w:hAnsi="宋体" w:cs="宋体"/>
                <w:szCs w:val="21"/>
              </w:rPr>
            </w:pPr>
            <w:r>
              <w:rPr>
                <w:rFonts w:hint="eastAsia" w:ascii="宋体" w:hAnsi="宋体" w:cs="宋体"/>
                <w:szCs w:val="21"/>
              </w:rPr>
              <w:t>8）支持将多科目题型试题混合组在一张试卷的功能。</w:t>
            </w:r>
          </w:p>
          <w:p w14:paraId="1A459EC9">
            <w:pPr>
              <w:adjustRightInd w:val="0"/>
              <w:snapToGrid w:val="0"/>
              <w:spacing w:line="300" w:lineRule="auto"/>
              <w:rPr>
                <w:rFonts w:ascii="宋体" w:hAnsi="宋体" w:cs="宋体"/>
                <w:szCs w:val="21"/>
              </w:rPr>
            </w:pPr>
            <w:r>
              <w:rPr>
                <w:rFonts w:hint="eastAsia" w:ascii="宋体" w:hAnsi="宋体" w:cs="宋体"/>
                <w:szCs w:val="21"/>
              </w:rPr>
              <w:t>9）支持试卷方案复制功能，可复制为不同于原有方案类型的新的方案，并可复制方案下的所有试卷。</w:t>
            </w:r>
          </w:p>
          <w:p w14:paraId="2EBE7E52">
            <w:pPr>
              <w:adjustRightInd w:val="0"/>
              <w:snapToGrid w:val="0"/>
              <w:spacing w:line="300" w:lineRule="auto"/>
              <w:rPr>
                <w:rFonts w:ascii="宋体" w:hAnsi="宋体" w:cs="宋体"/>
                <w:szCs w:val="21"/>
              </w:rPr>
            </w:pPr>
            <w:r>
              <w:rPr>
                <w:rFonts w:hint="eastAsia" w:ascii="宋体" w:hAnsi="宋体" w:cs="宋体"/>
                <w:szCs w:val="21"/>
              </w:rPr>
              <w:t>10）支持试卷方案导入导出功能，方便在不同服务器间的数据迁移。</w:t>
            </w:r>
          </w:p>
          <w:p w14:paraId="329494D0">
            <w:pPr>
              <w:adjustRightInd w:val="0"/>
              <w:snapToGrid w:val="0"/>
              <w:spacing w:line="300" w:lineRule="auto"/>
              <w:rPr>
                <w:rFonts w:ascii="宋体" w:hAnsi="宋体" w:cs="宋体"/>
                <w:szCs w:val="21"/>
              </w:rPr>
            </w:pPr>
            <w:r>
              <w:rPr>
                <w:rFonts w:hint="eastAsia" w:ascii="宋体" w:hAnsi="宋体" w:cs="宋体"/>
                <w:szCs w:val="21"/>
              </w:rPr>
              <w:t>11）提供方案全局设置功能，对方案统一进行启动、停止操作。</w:t>
            </w:r>
          </w:p>
          <w:p w14:paraId="22676B5B">
            <w:pPr>
              <w:adjustRightInd w:val="0"/>
              <w:snapToGrid w:val="0"/>
              <w:spacing w:line="300" w:lineRule="auto"/>
              <w:rPr>
                <w:rFonts w:ascii="宋体" w:hAnsi="宋体" w:cs="宋体"/>
                <w:szCs w:val="21"/>
              </w:rPr>
            </w:pPr>
            <w:r>
              <w:rPr>
                <w:rFonts w:hint="eastAsia" w:ascii="宋体" w:hAnsi="宋体" w:cs="宋体"/>
                <w:szCs w:val="21"/>
              </w:rPr>
              <w:t>12）支持手动选题与随机抽题两种生成试卷方式。</w:t>
            </w:r>
          </w:p>
          <w:p w14:paraId="65819DF1">
            <w:pPr>
              <w:adjustRightInd w:val="0"/>
              <w:snapToGrid w:val="0"/>
              <w:spacing w:line="300" w:lineRule="auto"/>
              <w:rPr>
                <w:rFonts w:ascii="宋体" w:hAnsi="宋体" w:cs="宋体"/>
                <w:szCs w:val="21"/>
              </w:rPr>
            </w:pPr>
            <w:r>
              <w:rPr>
                <w:rFonts w:hint="eastAsia" w:ascii="宋体" w:hAnsi="宋体" w:cs="宋体"/>
                <w:szCs w:val="21"/>
              </w:rPr>
              <w:t>13）支持笔试试卷生成功能，可将试卷内容转为Word试卷文件，排版方式与常规纸质试卷相同，提供固定的试卷模板。</w:t>
            </w:r>
          </w:p>
          <w:p w14:paraId="52B3F723">
            <w:pPr>
              <w:adjustRightInd w:val="0"/>
              <w:snapToGrid w:val="0"/>
              <w:spacing w:line="300" w:lineRule="auto"/>
              <w:rPr>
                <w:rFonts w:ascii="宋体" w:hAnsi="宋体" w:cs="宋体"/>
                <w:szCs w:val="21"/>
              </w:rPr>
            </w:pPr>
            <w:r>
              <w:rPr>
                <w:rFonts w:hint="eastAsia" w:ascii="宋体" w:hAnsi="宋体" w:cs="宋体"/>
                <w:szCs w:val="21"/>
              </w:rPr>
              <w:t>14）已经存在或专家多次校对过的试卷可进行多次试题乱序操作，选择题选项乱序，增加考试公平性。</w:t>
            </w:r>
          </w:p>
          <w:p w14:paraId="48269CEB">
            <w:pPr>
              <w:adjustRightInd w:val="0"/>
              <w:snapToGrid w:val="0"/>
              <w:rPr>
                <w:rFonts w:ascii="宋体" w:hAnsi="宋体" w:cs="宋体"/>
                <w:szCs w:val="21"/>
              </w:rPr>
            </w:pPr>
            <w:r>
              <w:rPr>
                <w:rFonts w:hint="eastAsia" w:ascii="宋体" w:hAnsi="宋体" w:cs="宋体"/>
                <w:szCs w:val="21"/>
              </w:rPr>
              <w:t xml:space="preserve">▲15）支持客户端双试卷答题模式，客户端将试卷分为客观题和操作题2个部分进行作答，卷1为客观题部分，卷2为操作题部分，可在自定义设置卷1和卷2的标题。卷1提交后，不能再次回看和修改作答内容，卷2交卷后统一进行评分。 </w:t>
            </w:r>
          </w:p>
        </w:tc>
        <w:tc>
          <w:tcPr>
            <w:tcW w:w="1710" w:type="dxa"/>
            <w:vAlign w:val="center"/>
          </w:tcPr>
          <w:p w14:paraId="47F842A2">
            <w:pPr>
              <w:spacing w:line="440" w:lineRule="exact"/>
              <w:jc w:val="center"/>
              <w:rPr>
                <w:szCs w:val="21"/>
              </w:rPr>
            </w:pPr>
          </w:p>
        </w:tc>
        <w:tc>
          <w:tcPr>
            <w:tcW w:w="1890" w:type="dxa"/>
            <w:vAlign w:val="center"/>
          </w:tcPr>
          <w:p w14:paraId="54E317DB">
            <w:pPr>
              <w:spacing w:line="440" w:lineRule="exact"/>
              <w:jc w:val="center"/>
              <w:rPr>
                <w:szCs w:val="21"/>
              </w:rPr>
            </w:pPr>
          </w:p>
        </w:tc>
        <w:tc>
          <w:tcPr>
            <w:tcW w:w="1312" w:type="dxa"/>
            <w:vAlign w:val="center"/>
          </w:tcPr>
          <w:p w14:paraId="6173E6C2">
            <w:pPr>
              <w:spacing w:line="440" w:lineRule="exact"/>
              <w:jc w:val="center"/>
              <w:rPr>
                <w:szCs w:val="21"/>
              </w:rPr>
            </w:pPr>
          </w:p>
        </w:tc>
      </w:tr>
      <w:tr w14:paraId="4AE3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7CD24BF4">
            <w:pPr>
              <w:spacing w:line="440" w:lineRule="exact"/>
              <w:jc w:val="center"/>
              <w:rPr>
                <w:rFonts w:ascii="宋体" w:hAnsi="宋体" w:cs="宋体"/>
                <w:szCs w:val="21"/>
              </w:rPr>
            </w:pPr>
            <w:r>
              <w:rPr>
                <w:rFonts w:hint="eastAsia" w:ascii="宋体" w:hAnsi="宋体" w:cs="宋体"/>
                <w:szCs w:val="21"/>
              </w:rPr>
              <w:t>5</w:t>
            </w:r>
          </w:p>
        </w:tc>
        <w:tc>
          <w:tcPr>
            <w:tcW w:w="1297" w:type="dxa"/>
            <w:vAlign w:val="center"/>
          </w:tcPr>
          <w:p w14:paraId="0D3A43A7">
            <w:pPr>
              <w:adjustRightInd w:val="0"/>
              <w:snapToGrid w:val="0"/>
              <w:spacing w:line="300" w:lineRule="auto"/>
              <w:jc w:val="center"/>
              <w:rPr>
                <w:rFonts w:ascii="宋体" w:hAnsi="宋体" w:cs="宋体"/>
                <w:szCs w:val="21"/>
              </w:rPr>
            </w:pPr>
            <w:r>
              <w:rPr>
                <w:rFonts w:hint="eastAsia" w:ascii="宋体" w:hAnsi="宋体" w:cs="宋体"/>
                <w:szCs w:val="21"/>
              </w:rPr>
              <w:t>平台用户管理功能</w:t>
            </w:r>
          </w:p>
        </w:tc>
        <w:tc>
          <w:tcPr>
            <w:tcW w:w="7341" w:type="dxa"/>
            <w:vAlign w:val="center"/>
          </w:tcPr>
          <w:p w14:paraId="7D35957A">
            <w:pPr>
              <w:adjustRightInd w:val="0"/>
              <w:snapToGrid w:val="0"/>
              <w:spacing w:line="300" w:lineRule="auto"/>
              <w:rPr>
                <w:rFonts w:ascii="宋体" w:hAnsi="宋体" w:cs="宋体"/>
                <w:szCs w:val="21"/>
              </w:rPr>
            </w:pPr>
            <w:r>
              <w:rPr>
                <w:rFonts w:hint="eastAsia" w:ascii="宋体" w:hAnsi="宋体" w:cs="宋体"/>
                <w:szCs w:val="21"/>
              </w:rPr>
              <w:t>★1）平台可以为“教师”角色、用户，设置不同级别的权限，支持-学院级别-系部级别-普通教师级别-兼职教师-多级别授权管理功能；普通教师级别功能要求：只负责管理自己所授课程的所有功能（创建试卷方案、组织考试学习、导入学生、导出成绩分析等）无法操作别的课程；组（系）级别功能要求：可以管理本系及以下级别的所有课程所有的功能，可指定本系别及以下级别所有教师的功能权限。无法操作其他系别课程的功能；学院级别功能要求：管理本学院及以下级别所有课程、所有系别教师操作权限功能；兼职教师功能要求：可设定兼职教师功能，进行少量的功能权限分配，进行成绩的导出及考试方案的监控等功能。</w:t>
            </w:r>
          </w:p>
          <w:p w14:paraId="1148C410">
            <w:pPr>
              <w:adjustRightInd w:val="0"/>
              <w:snapToGrid w:val="0"/>
              <w:spacing w:line="300" w:lineRule="auto"/>
              <w:rPr>
                <w:rFonts w:ascii="宋体" w:hAnsi="宋体" w:cs="宋体"/>
                <w:szCs w:val="21"/>
              </w:rPr>
            </w:pPr>
            <w:r>
              <w:rPr>
                <w:rFonts w:hint="eastAsia" w:ascii="宋体" w:hAnsi="宋体" w:cs="宋体"/>
                <w:szCs w:val="21"/>
              </w:rPr>
              <w:t>2）可添加教师多用户管理权限，每位可根据授权权限查看不同班级学生，可分科目管理学生信息，分方案管理学生信息。</w:t>
            </w:r>
          </w:p>
          <w:p w14:paraId="7476C5C9">
            <w:pPr>
              <w:adjustRightInd w:val="0"/>
              <w:snapToGrid w:val="0"/>
              <w:spacing w:line="300" w:lineRule="auto"/>
              <w:rPr>
                <w:rFonts w:ascii="宋体" w:hAnsi="宋体" w:cs="宋体"/>
                <w:szCs w:val="21"/>
              </w:rPr>
            </w:pPr>
            <w:r>
              <w:rPr>
                <w:rFonts w:hint="eastAsia" w:ascii="宋体" w:hAnsi="宋体" w:cs="宋体"/>
                <w:szCs w:val="21"/>
              </w:rPr>
              <w:t>3）教师可以给不同考试方案分配不同的班级学生，可以根据方案来筛选管理学生，老师可针对特定学生、特定班级发布练习题、考试项目等资源。</w:t>
            </w:r>
          </w:p>
          <w:p w14:paraId="67F9F7A1">
            <w:pPr>
              <w:adjustRightInd w:val="0"/>
              <w:snapToGrid w:val="0"/>
              <w:spacing w:line="300" w:lineRule="auto"/>
              <w:rPr>
                <w:rFonts w:ascii="宋体" w:hAnsi="宋体" w:cs="宋体"/>
                <w:szCs w:val="21"/>
              </w:rPr>
            </w:pPr>
            <w:r>
              <w:rPr>
                <w:rFonts w:hint="eastAsia" w:ascii="宋体" w:hAnsi="宋体" w:cs="宋体"/>
                <w:szCs w:val="21"/>
              </w:rPr>
              <w:t>4）能根据教务处提供的学生用户信息Excel文档，将学生用户信息直接导入本系统，诸如：学号、班级、姓名、初始密码、考生照片等。</w:t>
            </w:r>
          </w:p>
          <w:p w14:paraId="66004ED0">
            <w:pPr>
              <w:adjustRightInd w:val="0"/>
              <w:snapToGrid w:val="0"/>
              <w:spacing w:line="300" w:lineRule="auto"/>
              <w:rPr>
                <w:rFonts w:ascii="宋体" w:hAnsi="宋体" w:cs="宋体"/>
                <w:szCs w:val="21"/>
              </w:rPr>
            </w:pPr>
            <w:r>
              <w:rPr>
                <w:rFonts w:hint="eastAsia" w:ascii="宋体" w:hAnsi="宋体" w:cs="宋体"/>
                <w:szCs w:val="21"/>
              </w:rPr>
              <w:t>5）客户端可开放学生自由注册功能，注册后立即生效或教师审核后生效两种方式，注册生效后学生即可在客户端登录。</w:t>
            </w:r>
          </w:p>
          <w:p w14:paraId="13DF469E">
            <w:pPr>
              <w:pStyle w:val="2"/>
              <w:spacing w:after="0" w:line="300" w:lineRule="auto"/>
              <w:rPr>
                <w:rFonts w:ascii="宋体" w:hAnsi="宋体" w:cs="宋体"/>
                <w:szCs w:val="21"/>
              </w:rPr>
            </w:pPr>
            <w:r>
              <w:rPr>
                <w:rFonts w:hint="eastAsia" w:ascii="宋体" w:hAnsi="宋体" w:cs="宋体"/>
                <w:szCs w:val="21"/>
              </w:rPr>
              <w:t>▲6）支持VPN方式访问系统，包括但不局限于练习、考试、组卷等操作。</w:t>
            </w:r>
          </w:p>
        </w:tc>
        <w:tc>
          <w:tcPr>
            <w:tcW w:w="1710" w:type="dxa"/>
            <w:vAlign w:val="center"/>
          </w:tcPr>
          <w:p w14:paraId="2A2CCCB5">
            <w:pPr>
              <w:spacing w:line="440" w:lineRule="exact"/>
              <w:jc w:val="center"/>
              <w:rPr>
                <w:szCs w:val="21"/>
              </w:rPr>
            </w:pPr>
          </w:p>
        </w:tc>
        <w:tc>
          <w:tcPr>
            <w:tcW w:w="1890" w:type="dxa"/>
            <w:vAlign w:val="center"/>
          </w:tcPr>
          <w:p w14:paraId="385FBB7A">
            <w:pPr>
              <w:spacing w:line="440" w:lineRule="exact"/>
              <w:jc w:val="center"/>
              <w:rPr>
                <w:szCs w:val="21"/>
              </w:rPr>
            </w:pPr>
          </w:p>
        </w:tc>
        <w:tc>
          <w:tcPr>
            <w:tcW w:w="1312" w:type="dxa"/>
            <w:vAlign w:val="center"/>
          </w:tcPr>
          <w:p w14:paraId="4886B1BB">
            <w:pPr>
              <w:spacing w:line="440" w:lineRule="exact"/>
              <w:jc w:val="center"/>
              <w:rPr>
                <w:szCs w:val="21"/>
              </w:rPr>
            </w:pPr>
          </w:p>
        </w:tc>
      </w:tr>
      <w:tr w14:paraId="082A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5AF0C3D">
            <w:pPr>
              <w:spacing w:line="440" w:lineRule="exact"/>
              <w:jc w:val="center"/>
              <w:rPr>
                <w:rFonts w:ascii="宋体" w:hAnsi="宋体" w:cs="宋体"/>
                <w:szCs w:val="21"/>
              </w:rPr>
            </w:pPr>
            <w:r>
              <w:rPr>
                <w:rFonts w:hint="eastAsia" w:ascii="宋体" w:hAnsi="宋体" w:cs="宋体"/>
                <w:szCs w:val="21"/>
              </w:rPr>
              <w:t>6</w:t>
            </w:r>
          </w:p>
        </w:tc>
        <w:tc>
          <w:tcPr>
            <w:tcW w:w="1297" w:type="dxa"/>
            <w:vAlign w:val="center"/>
          </w:tcPr>
          <w:p w14:paraId="73C10C55">
            <w:pPr>
              <w:adjustRightInd w:val="0"/>
              <w:snapToGrid w:val="0"/>
              <w:spacing w:line="300" w:lineRule="auto"/>
              <w:jc w:val="center"/>
              <w:rPr>
                <w:rFonts w:ascii="宋体" w:hAnsi="宋体" w:cs="宋体"/>
                <w:szCs w:val="21"/>
              </w:rPr>
            </w:pPr>
            <w:r>
              <w:rPr>
                <w:rFonts w:hint="eastAsia" w:ascii="宋体" w:hAnsi="宋体" w:cs="宋体"/>
                <w:szCs w:val="21"/>
              </w:rPr>
              <w:t>平台成绩管理功能</w:t>
            </w:r>
          </w:p>
        </w:tc>
        <w:tc>
          <w:tcPr>
            <w:tcW w:w="7341" w:type="dxa"/>
            <w:vAlign w:val="center"/>
          </w:tcPr>
          <w:p w14:paraId="7FD8D85C">
            <w:pPr>
              <w:adjustRightInd w:val="0"/>
              <w:snapToGrid w:val="0"/>
              <w:spacing w:line="300" w:lineRule="auto"/>
              <w:rPr>
                <w:rFonts w:ascii="宋体" w:hAnsi="宋体" w:cs="宋体"/>
                <w:szCs w:val="21"/>
              </w:rPr>
            </w:pPr>
            <w:r>
              <w:rPr>
                <w:rFonts w:hint="eastAsia" w:ascii="宋体" w:hAnsi="宋体" w:cs="宋体"/>
                <w:szCs w:val="21"/>
              </w:rPr>
              <w:t>1）能方便对学生成绩进行管理，对考试成绩等数据进行汇总、统计分析，诸如计算平均分、方差、各分数段的比例等，并能自动生成和输出报表。</w:t>
            </w:r>
          </w:p>
          <w:p w14:paraId="0C5EB32C">
            <w:pPr>
              <w:adjustRightInd w:val="0"/>
              <w:snapToGrid w:val="0"/>
              <w:spacing w:line="300" w:lineRule="auto"/>
              <w:rPr>
                <w:rFonts w:ascii="宋体" w:hAnsi="宋体" w:cs="宋体"/>
                <w:szCs w:val="21"/>
              </w:rPr>
            </w:pPr>
            <w:r>
              <w:rPr>
                <w:rFonts w:hint="eastAsia" w:ascii="宋体" w:hAnsi="宋体" w:cs="宋体"/>
                <w:szCs w:val="21"/>
              </w:rPr>
              <w:t>2）能将平时作业、期中、期末考试成绩按比例自动计算统计，将平时成绩导出，作为总成绩的一部分。</w:t>
            </w:r>
          </w:p>
          <w:p w14:paraId="280C639F">
            <w:pPr>
              <w:adjustRightInd w:val="0"/>
              <w:snapToGrid w:val="0"/>
              <w:spacing w:line="300" w:lineRule="auto"/>
              <w:rPr>
                <w:rFonts w:ascii="宋体" w:hAnsi="宋体" w:cs="宋体"/>
                <w:szCs w:val="21"/>
              </w:rPr>
            </w:pPr>
            <w:r>
              <w:rPr>
                <w:rFonts w:hint="eastAsia" w:ascii="宋体" w:hAnsi="宋体" w:cs="宋体"/>
                <w:szCs w:val="21"/>
              </w:rPr>
              <w:t>3）能对试卷进行分析，得出学生对知识点的掌握情况，以便改进教学方法、教学重点等。</w:t>
            </w:r>
          </w:p>
          <w:p w14:paraId="7E568CEC">
            <w:pPr>
              <w:adjustRightInd w:val="0"/>
              <w:snapToGrid w:val="0"/>
              <w:spacing w:line="300" w:lineRule="auto"/>
              <w:rPr>
                <w:rFonts w:ascii="宋体" w:hAnsi="宋体" w:cs="宋体"/>
                <w:szCs w:val="21"/>
              </w:rPr>
            </w:pPr>
            <w:r>
              <w:rPr>
                <w:rFonts w:hint="eastAsia" w:ascii="宋体" w:hAnsi="宋体" w:cs="宋体"/>
                <w:szCs w:val="21"/>
              </w:rPr>
              <w:t>▲4）对于某个课程，教师可以设置“合格”条件：参加多少个模块的考试，各个模块的考试次数，各次考试的分数条件等；对于达到“合格”条件的学生，系统给出判定结果或成绩查询结果或出具一个证书。</w:t>
            </w:r>
          </w:p>
          <w:p w14:paraId="2790C6E8">
            <w:pPr>
              <w:adjustRightInd w:val="0"/>
              <w:snapToGrid w:val="0"/>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5）支持多方案参数合并：能将多个作业模式、考试模式下的成绩按照一定比例输出，从而形成一个综合成绩。</w:t>
            </w:r>
          </w:p>
          <w:p w14:paraId="5969227C">
            <w:pPr>
              <w:adjustRightInd w:val="0"/>
              <w:snapToGrid w:val="0"/>
              <w:spacing w:line="300" w:lineRule="auto"/>
              <w:rPr>
                <w:rFonts w:ascii="宋体" w:hAnsi="宋体" w:cs="宋体"/>
                <w:szCs w:val="21"/>
              </w:rPr>
            </w:pPr>
            <w:r>
              <w:rPr>
                <w:rFonts w:hint="eastAsia" w:ascii="宋体" w:hAnsi="宋体" w:cs="宋体"/>
                <w:b/>
                <w:spacing w:val="6"/>
                <w:szCs w:val="21"/>
              </w:rPr>
              <w:t>★</w:t>
            </w:r>
            <w:r>
              <w:rPr>
                <w:rFonts w:hint="eastAsia" w:ascii="宋体" w:hAnsi="宋体" w:cs="宋体"/>
                <w:szCs w:val="21"/>
              </w:rPr>
              <w:t>6）作业模式下，学生成绩可设置保留最高成绩或最后一次所答成绩。</w:t>
            </w:r>
          </w:p>
        </w:tc>
        <w:tc>
          <w:tcPr>
            <w:tcW w:w="1710" w:type="dxa"/>
            <w:vAlign w:val="center"/>
          </w:tcPr>
          <w:p w14:paraId="2D4F689A">
            <w:pPr>
              <w:spacing w:line="440" w:lineRule="exact"/>
              <w:jc w:val="center"/>
              <w:rPr>
                <w:szCs w:val="21"/>
              </w:rPr>
            </w:pPr>
          </w:p>
        </w:tc>
        <w:tc>
          <w:tcPr>
            <w:tcW w:w="1890" w:type="dxa"/>
            <w:vAlign w:val="center"/>
          </w:tcPr>
          <w:p w14:paraId="4B05B115">
            <w:pPr>
              <w:spacing w:line="440" w:lineRule="exact"/>
              <w:jc w:val="center"/>
              <w:rPr>
                <w:szCs w:val="21"/>
              </w:rPr>
            </w:pPr>
          </w:p>
        </w:tc>
        <w:tc>
          <w:tcPr>
            <w:tcW w:w="1312" w:type="dxa"/>
            <w:vAlign w:val="center"/>
          </w:tcPr>
          <w:p w14:paraId="3FB533FB">
            <w:pPr>
              <w:spacing w:line="440" w:lineRule="exact"/>
              <w:jc w:val="center"/>
              <w:rPr>
                <w:szCs w:val="21"/>
              </w:rPr>
            </w:pPr>
          </w:p>
        </w:tc>
      </w:tr>
      <w:tr w14:paraId="4F89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4A5C980">
            <w:pPr>
              <w:spacing w:line="440" w:lineRule="exact"/>
              <w:jc w:val="center"/>
              <w:rPr>
                <w:rFonts w:ascii="宋体" w:hAnsi="宋体" w:cs="宋体"/>
                <w:szCs w:val="21"/>
              </w:rPr>
            </w:pPr>
            <w:r>
              <w:rPr>
                <w:rFonts w:hint="eastAsia" w:ascii="宋体" w:hAnsi="宋体" w:cs="宋体"/>
                <w:szCs w:val="21"/>
              </w:rPr>
              <w:t>7</w:t>
            </w:r>
          </w:p>
        </w:tc>
        <w:tc>
          <w:tcPr>
            <w:tcW w:w="1297" w:type="dxa"/>
            <w:vAlign w:val="center"/>
          </w:tcPr>
          <w:p w14:paraId="0259E011">
            <w:pPr>
              <w:adjustRightInd w:val="0"/>
              <w:snapToGrid w:val="0"/>
              <w:spacing w:line="300" w:lineRule="auto"/>
              <w:jc w:val="center"/>
              <w:rPr>
                <w:rFonts w:ascii="宋体" w:hAnsi="宋体" w:cs="宋体"/>
                <w:szCs w:val="21"/>
              </w:rPr>
            </w:pPr>
            <w:r>
              <w:rPr>
                <w:rFonts w:hint="eastAsia" w:ascii="宋体" w:hAnsi="宋体" w:cs="宋体"/>
                <w:spacing w:val="6"/>
                <w:szCs w:val="21"/>
              </w:rPr>
              <w:t>平台拓展性能</w:t>
            </w:r>
          </w:p>
        </w:tc>
        <w:tc>
          <w:tcPr>
            <w:tcW w:w="7341" w:type="dxa"/>
            <w:vAlign w:val="center"/>
          </w:tcPr>
          <w:p w14:paraId="13A3AEFC">
            <w:pPr>
              <w:spacing w:line="300" w:lineRule="auto"/>
              <w:rPr>
                <w:rFonts w:ascii="宋体" w:hAnsi="宋体" w:cs="宋体"/>
                <w:szCs w:val="21"/>
              </w:rPr>
            </w:pPr>
            <w:r>
              <w:rPr>
                <w:rFonts w:hint="eastAsia" w:ascii="宋体" w:hAnsi="宋体" w:cs="宋体"/>
                <w:szCs w:val="21"/>
              </w:rPr>
              <w:t>▲1）科目拓展。除能够满足当前建设需要，还能够满足未来扩展需要（支持Raptor、AI、VB.NET</w:t>
            </w:r>
            <w:r>
              <w:rPr>
                <w:rFonts w:hint="eastAsia" w:ascii="宋体" w:hAnsi="宋体" w:cs="宋体"/>
                <w:szCs w:val="21"/>
                <w:lang w:val="zh-CN"/>
              </w:rPr>
              <w:t>、</w:t>
            </w:r>
            <w:r>
              <w:rPr>
                <w:rFonts w:hint="eastAsia" w:ascii="宋体" w:hAnsi="宋体" w:cs="宋体"/>
                <w:szCs w:val="21"/>
              </w:rPr>
              <w:t>SQL SERVER2005</w:t>
            </w:r>
            <w:r>
              <w:rPr>
                <w:rFonts w:hint="eastAsia" w:ascii="宋体" w:hAnsi="宋体" w:cs="宋体"/>
                <w:szCs w:val="21"/>
                <w:lang w:val="zh-CN"/>
              </w:rPr>
              <w:t>及以上</w:t>
            </w:r>
            <w:r>
              <w:rPr>
                <w:rFonts w:hint="eastAsia" w:ascii="宋体" w:hAnsi="宋体" w:cs="宋体"/>
                <w:szCs w:val="21"/>
              </w:rPr>
              <w:t>）；除能够满足计算机相关课程需要，也能够满足非计算机课程需要（如思政两课、健康教育、军事理论、大学外语类（包括小语种及听力），以及相关通识课、专业课等），便于学校后期课程扩充，并有现实案例支撑（能够提供多课程用户报告）。</w:t>
            </w:r>
          </w:p>
          <w:p w14:paraId="7FDDC604">
            <w:pPr>
              <w:spacing w:line="300" w:lineRule="auto"/>
              <w:rPr>
                <w:rFonts w:ascii="宋体" w:hAnsi="宋体" w:cs="宋体"/>
                <w:szCs w:val="21"/>
              </w:rPr>
            </w:pPr>
            <w:r>
              <w:rPr>
                <w:rFonts w:hint="eastAsia" w:ascii="宋体" w:hAnsi="宋体" w:cs="宋体"/>
                <w:szCs w:val="21"/>
              </w:rPr>
              <w:t>★2）题型拓展：平台能够支持配对题、简答题、综合题、分析题、完形填空题、词汇语法题、阅读理解题、选词填空题、快速阅读等题型，试题中可以插入数学公式、物理公式、化学公式，完全支持OFFICE上的公式编辑器，支持图文混排，同时支持增加视频、音频等多媒体格式试题。</w:t>
            </w:r>
          </w:p>
          <w:p w14:paraId="5EF57FCB">
            <w:pPr>
              <w:pStyle w:val="10"/>
              <w:spacing w:before="0" w:beforeAutospacing="0" w:after="0" w:afterAutospacing="0" w:line="300" w:lineRule="auto"/>
              <w:rPr>
                <w:rFonts w:ascii="宋体" w:hAnsi="宋体" w:eastAsia="宋体" w:cs="宋体"/>
                <w:szCs w:val="21"/>
              </w:rPr>
            </w:pPr>
            <w:r>
              <w:rPr>
                <w:rFonts w:hint="eastAsia" w:ascii="宋体" w:hAnsi="宋体" w:eastAsia="宋体" w:cs="宋体"/>
                <w:sz w:val="21"/>
                <w:szCs w:val="21"/>
              </w:rPr>
              <w:t>▲3）</w:t>
            </w:r>
            <w:r>
              <w:rPr>
                <w:rFonts w:hint="eastAsia" w:ascii="宋体" w:hAnsi="宋体" w:eastAsia="宋体" w:cs="宋体"/>
                <w:kern w:val="2"/>
                <w:sz w:val="21"/>
                <w:szCs w:val="21"/>
              </w:rPr>
              <w:t>功能拓展：</w:t>
            </w:r>
            <w:r>
              <w:rPr>
                <w:rFonts w:hint="eastAsia" w:ascii="宋体" w:hAnsi="宋体" w:eastAsia="宋体" w:cs="宋体"/>
                <w:sz w:val="21"/>
                <w:szCs w:val="21"/>
              </w:rPr>
              <w:t>能够支持远程考试，能够支持移动端（各大应用市场可以下载）。</w:t>
            </w:r>
          </w:p>
        </w:tc>
        <w:tc>
          <w:tcPr>
            <w:tcW w:w="1710" w:type="dxa"/>
            <w:vAlign w:val="center"/>
          </w:tcPr>
          <w:p w14:paraId="6195F941">
            <w:pPr>
              <w:spacing w:line="440" w:lineRule="exact"/>
              <w:jc w:val="center"/>
              <w:rPr>
                <w:szCs w:val="21"/>
              </w:rPr>
            </w:pPr>
          </w:p>
        </w:tc>
        <w:tc>
          <w:tcPr>
            <w:tcW w:w="1890" w:type="dxa"/>
            <w:vAlign w:val="center"/>
          </w:tcPr>
          <w:p w14:paraId="3A4E1358">
            <w:pPr>
              <w:spacing w:line="440" w:lineRule="exact"/>
              <w:jc w:val="center"/>
              <w:rPr>
                <w:szCs w:val="21"/>
              </w:rPr>
            </w:pPr>
          </w:p>
        </w:tc>
        <w:tc>
          <w:tcPr>
            <w:tcW w:w="1312" w:type="dxa"/>
            <w:vAlign w:val="center"/>
          </w:tcPr>
          <w:p w14:paraId="20D068AC">
            <w:pPr>
              <w:spacing w:line="440" w:lineRule="exact"/>
              <w:jc w:val="center"/>
              <w:rPr>
                <w:szCs w:val="21"/>
              </w:rPr>
            </w:pPr>
          </w:p>
        </w:tc>
      </w:tr>
      <w:tr w14:paraId="5FB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0E0F016">
            <w:pPr>
              <w:spacing w:line="440" w:lineRule="exact"/>
              <w:jc w:val="center"/>
              <w:rPr>
                <w:rFonts w:ascii="宋体" w:hAnsi="宋体" w:cs="宋体"/>
                <w:szCs w:val="21"/>
              </w:rPr>
            </w:pPr>
            <w:r>
              <w:rPr>
                <w:rFonts w:hint="eastAsia" w:ascii="宋体" w:hAnsi="宋体" w:cs="宋体"/>
                <w:szCs w:val="21"/>
              </w:rPr>
              <w:t>8</w:t>
            </w:r>
          </w:p>
        </w:tc>
        <w:tc>
          <w:tcPr>
            <w:tcW w:w="1297" w:type="dxa"/>
            <w:vAlign w:val="center"/>
          </w:tcPr>
          <w:p w14:paraId="4D0F0C44">
            <w:pPr>
              <w:adjustRightInd w:val="0"/>
              <w:snapToGrid w:val="0"/>
              <w:spacing w:line="300" w:lineRule="auto"/>
              <w:jc w:val="center"/>
              <w:rPr>
                <w:rFonts w:ascii="宋体" w:hAnsi="宋体" w:cs="宋体"/>
                <w:szCs w:val="21"/>
              </w:rPr>
            </w:pPr>
            <w:r>
              <w:rPr>
                <w:rFonts w:hint="eastAsia" w:ascii="宋体" w:hAnsi="宋体" w:cs="宋体"/>
                <w:szCs w:val="21"/>
              </w:rPr>
              <w:t>多课程及客户端并发能力</w:t>
            </w:r>
          </w:p>
        </w:tc>
        <w:tc>
          <w:tcPr>
            <w:tcW w:w="7341" w:type="dxa"/>
            <w:vAlign w:val="center"/>
          </w:tcPr>
          <w:p w14:paraId="3D0A6E6B">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能提供江苏省内及省外高校</w:t>
            </w:r>
            <w:r>
              <w:rPr>
                <w:rFonts w:ascii="宋体" w:hAnsi="宋体" w:eastAsia="宋体" w:cs="宋体"/>
                <w:color w:val="000000"/>
                <w:sz w:val="21"/>
                <w:szCs w:val="21"/>
              </w:rPr>
              <w:t>5</w:t>
            </w:r>
            <w:r>
              <w:rPr>
                <w:rFonts w:hint="eastAsia" w:ascii="宋体" w:hAnsi="宋体" w:eastAsia="宋体" w:cs="宋体"/>
                <w:color w:val="000000"/>
                <w:sz w:val="21"/>
                <w:szCs w:val="21"/>
              </w:rPr>
              <w:t>家以上大并发数使用报告（须有用户盖章，江苏省内不少于</w:t>
            </w:r>
            <w:r>
              <w:rPr>
                <w:rFonts w:ascii="宋体" w:hAnsi="宋体" w:eastAsia="宋体" w:cs="宋体"/>
                <w:color w:val="000000"/>
                <w:sz w:val="21"/>
                <w:szCs w:val="21"/>
              </w:rPr>
              <w:t>2</w:t>
            </w:r>
            <w:r>
              <w:rPr>
                <w:rFonts w:hint="eastAsia" w:ascii="宋体" w:hAnsi="宋体" w:eastAsia="宋体" w:cs="宋体"/>
                <w:color w:val="000000"/>
                <w:sz w:val="21"/>
                <w:szCs w:val="21"/>
              </w:rPr>
              <w:t>家），提供其他院校使用制造商考核平台</w:t>
            </w:r>
            <w:r>
              <w:rPr>
                <w:rFonts w:ascii="宋体" w:hAnsi="宋体" w:eastAsia="宋体" w:cs="宋体"/>
                <w:color w:val="000000"/>
                <w:sz w:val="21"/>
                <w:szCs w:val="21"/>
              </w:rPr>
              <w:t>2</w:t>
            </w:r>
            <w:r>
              <w:rPr>
                <w:rFonts w:hint="eastAsia" w:ascii="宋体" w:hAnsi="宋体" w:eastAsia="宋体" w:cs="宋体"/>
                <w:color w:val="000000"/>
                <w:sz w:val="21"/>
                <w:szCs w:val="21"/>
              </w:rPr>
              <w:t>0门课程以上使用报告证明，提供客户端最大并发数能达1</w:t>
            </w:r>
            <w:r>
              <w:rPr>
                <w:rFonts w:ascii="宋体" w:hAnsi="宋体" w:eastAsia="宋体" w:cs="宋体"/>
                <w:color w:val="000000"/>
                <w:sz w:val="21"/>
                <w:szCs w:val="21"/>
              </w:rPr>
              <w:t>0</w:t>
            </w:r>
            <w:r>
              <w:rPr>
                <w:rFonts w:hint="eastAsia" w:ascii="宋体" w:hAnsi="宋体" w:eastAsia="宋体" w:cs="宋体"/>
                <w:color w:val="000000"/>
                <w:sz w:val="21"/>
                <w:szCs w:val="21"/>
              </w:rPr>
              <w:t xml:space="preserve">00人以上使用报告证明。 </w:t>
            </w:r>
          </w:p>
          <w:p w14:paraId="0FDB1CBA">
            <w:pPr>
              <w:pStyle w:val="10"/>
              <w:spacing w:before="0" w:beforeAutospacing="0" w:after="0" w:afterAutospacing="0" w:line="300" w:lineRule="auto"/>
              <w:rPr>
                <w:rFonts w:ascii="宋体" w:hAnsi="宋体" w:eastAsia="宋体" w:cs="宋体"/>
                <w:kern w:val="2"/>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2）后续我校视需要，可以提供其他10科左右课程模块资源包试用，诸如C语言、JAVA、大学英语、思政课程等（试用期一年）。</w:t>
            </w:r>
          </w:p>
        </w:tc>
        <w:tc>
          <w:tcPr>
            <w:tcW w:w="1710" w:type="dxa"/>
            <w:vAlign w:val="center"/>
          </w:tcPr>
          <w:p w14:paraId="6092FBDC">
            <w:pPr>
              <w:spacing w:line="440" w:lineRule="exact"/>
              <w:jc w:val="center"/>
              <w:rPr>
                <w:szCs w:val="21"/>
              </w:rPr>
            </w:pPr>
          </w:p>
        </w:tc>
        <w:tc>
          <w:tcPr>
            <w:tcW w:w="1890" w:type="dxa"/>
            <w:vAlign w:val="center"/>
          </w:tcPr>
          <w:p w14:paraId="71CA0580">
            <w:pPr>
              <w:spacing w:line="440" w:lineRule="exact"/>
              <w:jc w:val="center"/>
              <w:rPr>
                <w:szCs w:val="21"/>
              </w:rPr>
            </w:pPr>
          </w:p>
        </w:tc>
        <w:tc>
          <w:tcPr>
            <w:tcW w:w="1312" w:type="dxa"/>
            <w:vAlign w:val="center"/>
          </w:tcPr>
          <w:p w14:paraId="7034C30C">
            <w:pPr>
              <w:spacing w:line="440" w:lineRule="exact"/>
              <w:jc w:val="center"/>
              <w:rPr>
                <w:szCs w:val="21"/>
              </w:rPr>
            </w:pPr>
          </w:p>
        </w:tc>
      </w:tr>
      <w:tr w14:paraId="057F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F7779B5">
            <w:pPr>
              <w:spacing w:line="440" w:lineRule="exact"/>
              <w:jc w:val="center"/>
              <w:rPr>
                <w:rFonts w:ascii="宋体" w:hAnsi="宋体" w:cs="宋体"/>
                <w:szCs w:val="21"/>
              </w:rPr>
            </w:pPr>
            <w:r>
              <w:rPr>
                <w:rFonts w:hint="eastAsia" w:ascii="宋体" w:hAnsi="宋体" w:cs="宋体"/>
                <w:szCs w:val="21"/>
              </w:rPr>
              <w:t>9</w:t>
            </w:r>
          </w:p>
        </w:tc>
        <w:tc>
          <w:tcPr>
            <w:tcW w:w="1297" w:type="dxa"/>
            <w:vAlign w:val="center"/>
          </w:tcPr>
          <w:p w14:paraId="3D4C518B">
            <w:pPr>
              <w:pStyle w:val="10"/>
              <w:spacing w:before="0" w:beforeAutospacing="0" w:after="0" w:afterAutospacing="0" w:line="300" w:lineRule="auto"/>
              <w:ind w:firstLine="480" w:firstLineChars="200"/>
              <w:rPr>
                <w:rFonts w:ascii="宋体" w:hAnsi="宋体" w:eastAsia="宋体" w:cs="宋体"/>
                <w:color w:val="000000"/>
                <w:sz w:val="21"/>
                <w:szCs w:val="21"/>
              </w:rPr>
            </w:pPr>
            <w:r>
              <w:rPr>
                <w:rFonts w:hint="eastAsia" w:ascii="宋体" w:hAnsi="宋体" w:eastAsia="宋体" w:cs="宋体"/>
                <w:b/>
                <w:bCs/>
                <w:color w:val="000000"/>
              </w:rPr>
              <w:t>★</w:t>
            </w:r>
            <w:r>
              <w:rPr>
                <w:rFonts w:hint="eastAsia" w:ascii="宋体" w:hAnsi="宋体" w:eastAsia="宋体" w:cs="宋体"/>
                <w:color w:val="000000"/>
                <w:sz w:val="21"/>
                <w:szCs w:val="21"/>
              </w:rPr>
              <w:t>MS Office2016高级应用课程模块功能要求</w:t>
            </w:r>
          </w:p>
          <w:p w14:paraId="2B49659F">
            <w:pPr>
              <w:adjustRightInd w:val="0"/>
              <w:snapToGrid w:val="0"/>
              <w:spacing w:line="300" w:lineRule="auto"/>
              <w:jc w:val="center"/>
              <w:rPr>
                <w:rFonts w:ascii="宋体" w:hAnsi="宋体" w:cs="宋体"/>
                <w:szCs w:val="21"/>
              </w:rPr>
            </w:pPr>
          </w:p>
        </w:tc>
        <w:tc>
          <w:tcPr>
            <w:tcW w:w="7341" w:type="dxa"/>
            <w:vAlign w:val="center"/>
          </w:tcPr>
          <w:p w14:paraId="5CC3E9D9">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1）要求题型支持：单选、多选、填空、判断、附加题、文件操作、个性化、网络、系统设置、时间和语言、word文字、Excel表格、PPT演示文稿等多种题型，且以上题型并完全实现自动判分。</w:t>
            </w:r>
          </w:p>
          <w:p w14:paraId="3E13A2AC">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2）满足国家等级考试二级 Office2016应用操作的考试考核要求。</w:t>
            </w:r>
          </w:p>
          <w:p w14:paraId="38C7B1CE">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3）免费提供最新Office2016操作题资源给学校使用，所有题型完全实现自动判分。</w:t>
            </w:r>
          </w:p>
          <w:p w14:paraId="1F03DE87">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4）要求试题中可以插入数学公式、物理公式、化学公式，完全支持OFFICE上的公式编辑器，支持图文混排，同时支持增加视频、听力等多媒体格式试题。</w:t>
            </w:r>
          </w:p>
          <w:p w14:paraId="7DFDBBDE">
            <w:pPr>
              <w:pStyle w:val="10"/>
              <w:spacing w:before="0" w:beforeAutospacing="0" w:after="0" w:afterAutospacing="0" w:line="300" w:lineRule="auto"/>
              <w:rPr>
                <w:rFonts w:ascii="宋体" w:hAnsi="宋体" w:eastAsia="宋体" w:cs="宋体"/>
                <w:kern w:val="2"/>
                <w:sz w:val="21"/>
                <w:szCs w:val="21"/>
              </w:rPr>
            </w:pPr>
            <w:r>
              <w:rPr>
                <w:rFonts w:hint="eastAsia" w:ascii="宋体" w:hAnsi="宋体" w:eastAsia="宋体" w:cs="宋体"/>
                <w:color w:val="000000"/>
                <w:sz w:val="21"/>
                <w:szCs w:val="21"/>
              </w:rPr>
              <w:t>5）免费提供现成的题库，题库完全开放可自由添加修改。</w:t>
            </w:r>
          </w:p>
        </w:tc>
        <w:tc>
          <w:tcPr>
            <w:tcW w:w="1710" w:type="dxa"/>
            <w:vAlign w:val="center"/>
          </w:tcPr>
          <w:p w14:paraId="0062DA0D">
            <w:pPr>
              <w:spacing w:line="440" w:lineRule="exact"/>
              <w:jc w:val="center"/>
              <w:rPr>
                <w:szCs w:val="21"/>
              </w:rPr>
            </w:pPr>
          </w:p>
        </w:tc>
        <w:tc>
          <w:tcPr>
            <w:tcW w:w="1890" w:type="dxa"/>
            <w:vAlign w:val="center"/>
          </w:tcPr>
          <w:p w14:paraId="73A0A351">
            <w:pPr>
              <w:spacing w:line="440" w:lineRule="exact"/>
              <w:jc w:val="center"/>
              <w:rPr>
                <w:szCs w:val="21"/>
              </w:rPr>
            </w:pPr>
          </w:p>
        </w:tc>
        <w:tc>
          <w:tcPr>
            <w:tcW w:w="1312" w:type="dxa"/>
            <w:vAlign w:val="center"/>
          </w:tcPr>
          <w:p w14:paraId="47E434EC">
            <w:pPr>
              <w:spacing w:line="440" w:lineRule="exact"/>
              <w:jc w:val="center"/>
              <w:rPr>
                <w:szCs w:val="21"/>
              </w:rPr>
            </w:pPr>
          </w:p>
        </w:tc>
      </w:tr>
      <w:tr w14:paraId="58D2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FB449FE">
            <w:pPr>
              <w:spacing w:line="440" w:lineRule="exact"/>
              <w:jc w:val="center"/>
              <w:rPr>
                <w:rFonts w:ascii="宋体" w:hAnsi="宋体" w:cs="宋体"/>
                <w:szCs w:val="21"/>
              </w:rPr>
            </w:pPr>
            <w:r>
              <w:rPr>
                <w:rFonts w:hint="eastAsia" w:ascii="宋体" w:hAnsi="宋体" w:cs="宋体"/>
                <w:szCs w:val="21"/>
              </w:rPr>
              <w:t>10</w:t>
            </w:r>
          </w:p>
        </w:tc>
        <w:tc>
          <w:tcPr>
            <w:tcW w:w="1297" w:type="dxa"/>
            <w:vAlign w:val="center"/>
          </w:tcPr>
          <w:p w14:paraId="79D12E4F">
            <w:pPr>
              <w:adjustRightInd w:val="0"/>
              <w:snapToGrid w:val="0"/>
              <w:spacing w:line="300" w:lineRule="auto"/>
              <w:jc w:val="center"/>
              <w:rPr>
                <w:rFonts w:ascii="宋体" w:hAnsi="宋体" w:cs="宋体"/>
                <w:szCs w:val="21"/>
              </w:rPr>
            </w:pPr>
            <w:r>
              <w:rPr>
                <w:rFonts w:hint="eastAsia" w:ascii="宋体" w:hAnsi="宋体" w:cs="宋体"/>
                <w:b/>
                <w:bCs/>
                <w:color w:val="000000"/>
                <w:sz w:val="24"/>
              </w:rPr>
              <w:t>★</w:t>
            </w:r>
            <w:r>
              <w:rPr>
                <w:rFonts w:hint="eastAsia" w:ascii="宋体" w:hAnsi="宋体" w:cs="宋体"/>
                <w:color w:val="000000"/>
                <w:szCs w:val="21"/>
              </w:rPr>
              <w:t>Python课程模块功能要求</w:t>
            </w:r>
          </w:p>
        </w:tc>
        <w:tc>
          <w:tcPr>
            <w:tcW w:w="7341" w:type="dxa"/>
            <w:vAlign w:val="center"/>
          </w:tcPr>
          <w:p w14:paraId="1C5B9B9E">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1）Python语言程序设计科目题型支持：单选、多选、填空、判断、程序设计、程序填空、程序改错、结果导向编程等题型。上述题型完全自动判分。</w:t>
            </w:r>
          </w:p>
          <w:p w14:paraId="7AA760DC">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2）客户机答题Python调用环境支IDLE(python3.x)、IDLE(python2.x)、Anaconda3（Jupyter Notebook、Spyder）环境，满足日常自动测评评分。</w:t>
            </w:r>
          </w:p>
          <w:p w14:paraId="7E00B9B4">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3）Python程序设计题，支持关键代码、运行通过、结果检测三个模块按照设定比例匹配判分。</w:t>
            </w:r>
          </w:p>
          <w:p w14:paraId="24C49C73">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4）Python结果导向编程题录入支持设置标准答案和多组输入；每组输入支持设置分数、输入类型可选单行、多行字符串和文件；实现程序功能的完整性校验。</w:t>
            </w:r>
          </w:p>
          <w:p w14:paraId="01039878">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5）Python结果导向编程题，实现多组输入、输出验证，学生可自由编写程序作答，不受任何条件限制。</w:t>
            </w:r>
          </w:p>
          <w:p w14:paraId="741B84A6">
            <w:pPr>
              <w:pStyle w:val="10"/>
              <w:spacing w:before="0" w:beforeAutospacing="0" w:after="0" w:afterAutospacing="0" w:line="300" w:lineRule="auto"/>
              <w:rPr>
                <w:rFonts w:ascii="宋体" w:hAnsi="宋体" w:eastAsia="宋体" w:cs="宋体"/>
                <w:kern w:val="2"/>
                <w:sz w:val="21"/>
                <w:szCs w:val="21"/>
              </w:rPr>
            </w:pPr>
            <w:r>
              <w:rPr>
                <w:rFonts w:hint="eastAsia" w:ascii="宋体" w:hAnsi="宋体" w:eastAsia="宋体" w:cs="宋体"/>
                <w:color w:val="000000"/>
                <w:sz w:val="21"/>
                <w:szCs w:val="21"/>
              </w:rPr>
              <w:t>6）免费提供现成的题库，题库完全开放可自由添加修改。</w:t>
            </w:r>
          </w:p>
        </w:tc>
        <w:tc>
          <w:tcPr>
            <w:tcW w:w="1710" w:type="dxa"/>
            <w:vAlign w:val="center"/>
          </w:tcPr>
          <w:p w14:paraId="57FE0AD6">
            <w:pPr>
              <w:spacing w:line="440" w:lineRule="exact"/>
              <w:jc w:val="center"/>
              <w:rPr>
                <w:szCs w:val="21"/>
              </w:rPr>
            </w:pPr>
          </w:p>
        </w:tc>
        <w:tc>
          <w:tcPr>
            <w:tcW w:w="1890" w:type="dxa"/>
            <w:vAlign w:val="center"/>
          </w:tcPr>
          <w:p w14:paraId="06214103">
            <w:pPr>
              <w:spacing w:line="440" w:lineRule="exact"/>
              <w:jc w:val="center"/>
              <w:rPr>
                <w:szCs w:val="21"/>
              </w:rPr>
            </w:pPr>
          </w:p>
        </w:tc>
        <w:tc>
          <w:tcPr>
            <w:tcW w:w="1312" w:type="dxa"/>
            <w:vAlign w:val="center"/>
          </w:tcPr>
          <w:p w14:paraId="1AC5FD90">
            <w:pPr>
              <w:spacing w:line="440" w:lineRule="exact"/>
              <w:jc w:val="center"/>
              <w:rPr>
                <w:szCs w:val="21"/>
              </w:rPr>
            </w:pPr>
          </w:p>
        </w:tc>
      </w:tr>
      <w:tr w14:paraId="0226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70E46DD">
            <w:pPr>
              <w:spacing w:line="440" w:lineRule="exact"/>
              <w:jc w:val="center"/>
              <w:rPr>
                <w:rFonts w:ascii="宋体" w:hAnsi="宋体" w:cs="宋体"/>
                <w:szCs w:val="21"/>
              </w:rPr>
            </w:pPr>
            <w:r>
              <w:rPr>
                <w:rFonts w:hint="eastAsia" w:ascii="宋体" w:hAnsi="宋体" w:cs="宋体"/>
                <w:szCs w:val="21"/>
              </w:rPr>
              <w:t>11</w:t>
            </w:r>
          </w:p>
        </w:tc>
        <w:tc>
          <w:tcPr>
            <w:tcW w:w="1297" w:type="dxa"/>
            <w:vAlign w:val="center"/>
          </w:tcPr>
          <w:p w14:paraId="401045A5">
            <w:pPr>
              <w:adjustRightInd w:val="0"/>
              <w:snapToGrid w:val="0"/>
              <w:spacing w:line="300" w:lineRule="auto"/>
              <w:jc w:val="center"/>
              <w:rPr>
                <w:rFonts w:ascii="宋体" w:hAnsi="宋体" w:cs="宋体"/>
                <w:szCs w:val="21"/>
              </w:rPr>
            </w:pPr>
            <w:r>
              <w:rPr>
                <w:rFonts w:hint="eastAsia" w:ascii="宋体" w:hAnsi="宋体" w:cs="宋体"/>
                <w:color w:val="000000"/>
                <w:szCs w:val="21"/>
              </w:rPr>
              <w:t>其他相关要求</w:t>
            </w:r>
          </w:p>
        </w:tc>
        <w:tc>
          <w:tcPr>
            <w:tcW w:w="7341" w:type="dxa"/>
            <w:vAlign w:val="center"/>
          </w:tcPr>
          <w:p w14:paraId="4AD09BBB">
            <w:pPr>
              <w:pStyle w:val="10"/>
              <w:spacing w:before="0" w:beforeAutospacing="0" w:after="0" w:afterAutospacing="0" w:line="300" w:lineRule="auto"/>
              <w:rPr>
                <w:rFonts w:ascii="宋体" w:hAnsi="宋体" w:eastAsia="宋体" w:cs="宋体"/>
                <w:color w:val="000000"/>
                <w:sz w:val="21"/>
                <w:szCs w:val="21"/>
              </w:rPr>
            </w:pPr>
            <w:r>
              <w:rPr>
                <w:rFonts w:hint="eastAsia" w:ascii="宋体" w:hAnsi="宋体" w:eastAsia="宋体" w:cs="宋体"/>
                <w:color w:val="000000"/>
                <w:sz w:val="21"/>
                <w:szCs w:val="21"/>
              </w:rPr>
              <w:t>1）产品保障：须有著作权。</w:t>
            </w:r>
          </w:p>
          <w:p w14:paraId="4F378246">
            <w:pPr>
              <w:pStyle w:val="10"/>
              <w:spacing w:before="0" w:beforeAutospacing="0" w:after="0" w:afterAutospacing="0" w:line="300" w:lineRule="auto"/>
              <w:rPr>
                <w:rFonts w:ascii="宋体" w:hAnsi="宋体" w:eastAsia="宋体" w:cs="宋体"/>
                <w:kern w:val="2"/>
                <w:sz w:val="21"/>
                <w:szCs w:val="21"/>
              </w:rPr>
            </w:pPr>
            <w:r>
              <w:rPr>
                <w:rFonts w:hint="eastAsia" w:ascii="宋体" w:hAnsi="宋体" w:eastAsia="宋体" w:cs="宋体"/>
                <w:color w:val="000000"/>
                <w:sz w:val="21"/>
                <w:szCs w:val="21"/>
              </w:rPr>
              <w:t>▲2）软件升级及服务保障：要求公司有稳定的技术研发及服务团队，能够保证软件的后续升级及服务，并且公司每年有新升级版本推出，3年内提供免费升级及服务（升级项目包括平台及资源的升级）（提供承诺书）。</w:t>
            </w:r>
          </w:p>
        </w:tc>
        <w:tc>
          <w:tcPr>
            <w:tcW w:w="1710" w:type="dxa"/>
            <w:vAlign w:val="center"/>
          </w:tcPr>
          <w:p w14:paraId="0DB5593D">
            <w:pPr>
              <w:spacing w:line="440" w:lineRule="exact"/>
              <w:jc w:val="center"/>
              <w:rPr>
                <w:szCs w:val="21"/>
              </w:rPr>
            </w:pPr>
          </w:p>
        </w:tc>
        <w:tc>
          <w:tcPr>
            <w:tcW w:w="1890" w:type="dxa"/>
            <w:vAlign w:val="center"/>
          </w:tcPr>
          <w:p w14:paraId="563E9F8A">
            <w:pPr>
              <w:spacing w:line="440" w:lineRule="exact"/>
              <w:jc w:val="center"/>
              <w:rPr>
                <w:szCs w:val="21"/>
              </w:rPr>
            </w:pPr>
          </w:p>
        </w:tc>
        <w:tc>
          <w:tcPr>
            <w:tcW w:w="1312" w:type="dxa"/>
            <w:vAlign w:val="center"/>
          </w:tcPr>
          <w:p w14:paraId="79960C94">
            <w:pPr>
              <w:spacing w:line="440" w:lineRule="exact"/>
              <w:jc w:val="center"/>
              <w:rPr>
                <w:szCs w:val="21"/>
              </w:rPr>
            </w:pPr>
          </w:p>
        </w:tc>
      </w:tr>
    </w:tbl>
    <w:p w14:paraId="6B973F92">
      <w:pPr>
        <w:spacing w:line="440" w:lineRule="exact"/>
        <w:rPr>
          <w:rFonts w:ascii="宋体" w:hAnsi="宋体" w:cs="宋体"/>
          <w:szCs w:val="21"/>
        </w:rPr>
      </w:pPr>
    </w:p>
    <w:p w14:paraId="3C4A07B1">
      <w:pPr>
        <w:spacing w:line="440" w:lineRule="exact"/>
        <w:rPr>
          <w:rFonts w:ascii="宋体" w:hAnsi="宋体" w:cs="宋体"/>
          <w:szCs w:val="21"/>
        </w:rPr>
      </w:pPr>
    </w:p>
    <w:p w14:paraId="7B2A6A89">
      <w:pPr>
        <w:spacing w:line="440" w:lineRule="exact"/>
        <w:rPr>
          <w:szCs w:val="21"/>
        </w:rPr>
      </w:pPr>
      <w:r>
        <w:rPr>
          <w:rFonts w:hint="eastAsia" w:ascii="宋体" w:hAnsi="宋体" w:cs="宋体"/>
          <w:szCs w:val="21"/>
        </w:rPr>
        <w:t>投标人</w:t>
      </w:r>
      <w:r>
        <w:rPr>
          <w:szCs w:val="21"/>
        </w:rPr>
        <w:t>名称（公章）：</w:t>
      </w:r>
    </w:p>
    <w:p w14:paraId="22F5124E">
      <w:pPr>
        <w:spacing w:line="440" w:lineRule="exact"/>
        <w:rPr>
          <w:szCs w:val="21"/>
        </w:rPr>
      </w:pPr>
      <w:r>
        <w:rPr>
          <w:szCs w:val="21"/>
        </w:rPr>
        <w:t>授权代表（签字）：</w:t>
      </w:r>
    </w:p>
    <w:p w14:paraId="5114B533">
      <w:pPr>
        <w:spacing w:line="440" w:lineRule="exact"/>
        <w:rPr>
          <w:rFonts w:ascii="宋体" w:hAnsi="宋体" w:cs="宋体"/>
          <w:szCs w:val="21"/>
        </w:rPr>
      </w:pPr>
      <w:r>
        <w:rPr>
          <w:szCs w:val="21"/>
        </w:rPr>
        <w:t>日期：</w:t>
      </w:r>
    </w:p>
    <w:p w14:paraId="3BE4F1B7">
      <w:pPr>
        <w:spacing w:line="440" w:lineRule="exact"/>
        <w:rPr>
          <w:rFonts w:ascii="宋体" w:hAnsi="宋体" w:cs="宋体"/>
          <w:szCs w:val="21"/>
        </w:rPr>
      </w:pPr>
      <w:r>
        <w:rPr>
          <w:rFonts w:hint="eastAsia" w:ascii="宋体" w:hAnsi="宋体" w:cs="宋体"/>
          <w:szCs w:val="21"/>
        </w:rPr>
        <w:t>注：</w:t>
      </w:r>
    </w:p>
    <w:p w14:paraId="198BF401">
      <w:pPr>
        <w:spacing w:line="440" w:lineRule="exact"/>
        <w:ind w:firstLine="420" w:firstLineChars="200"/>
        <w:rPr>
          <w:rFonts w:ascii="宋体" w:hAnsi="宋体" w:cs="宋体"/>
          <w:szCs w:val="21"/>
        </w:rPr>
      </w:pPr>
      <w:r>
        <w:rPr>
          <w:rFonts w:hint="eastAsia" w:ascii="宋体" w:hAnsi="宋体" w:cs="宋体"/>
          <w:szCs w:val="21"/>
        </w:rPr>
        <w:t>1.“承诺或说明”栏必须如实填写（响应/正偏离/负偏离），同时标注技术参数响应的证明材料在投标文件中的页码。若有空缺，则视为投标人对该项</w:t>
      </w:r>
      <w:r>
        <w:rPr>
          <w:rFonts w:ascii="宋体" w:hAnsi="宋体" w:cs="宋体"/>
          <w:szCs w:val="21"/>
        </w:rPr>
        <w:t>技术</w:t>
      </w:r>
      <w:r>
        <w:rPr>
          <w:rFonts w:hint="eastAsia" w:ascii="宋体" w:hAnsi="宋体" w:cs="宋体"/>
          <w:szCs w:val="21"/>
        </w:rPr>
        <w:t>参数</w:t>
      </w:r>
      <w:r>
        <w:rPr>
          <w:rFonts w:ascii="宋体" w:hAnsi="宋体" w:cs="宋体"/>
          <w:szCs w:val="21"/>
        </w:rPr>
        <w:t>完全</w:t>
      </w:r>
      <w:r>
        <w:rPr>
          <w:rFonts w:hint="eastAsia" w:ascii="宋体" w:hAnsi="宋体" w:cs="宋体"/>
          <w:szCs w:val="21"/>
        </w:rPr>
        <w:t>响应，由此产生的不良后果由投标人承担；</w:t>
      </w:r>
    </w:p>
    <w:p w14:paraId="097240DD">
      <w:pPr>
        <w:spacing w:line="440" w:lineRule="exact"/>
        <w:ind w:firstLine="420" w:firstLineChars="200"/>
        <w:rPr>
          <w:rFonts w:ascii="宋体" w:hAnsi="宋体" w:cs="宋体"/>
          <w:szCs w:val="21"/>
        </w:rPr>
      </w:pPr>
      <w:r>
        <w:rPr>
          <w:rFonts w:hint="eastAsia" w:ascii="宋体" w:hAnsi="宋体" w:cs="宋体"/>
          <w:szCs w:val="21"/>
        </w:rPr>
        <w:t>2.技术参数为“负偏离”时，需对“负偏离”情况作详细说明；</w:t>
      </w:r>
    </w:p>
    <w:p w14:paraId="649B3301">
      <w:pPr>
        <w:spacing w:line="440" w:lineRule="exact"/>
        <w:ind w:firstLine="420" w:firstLineChars="200"/>
        <w:rPr>
          <w:rFonts w:ascii="宋体" w:hAnsi="宋体" w:cs="宋体"/>
          <w:b/>
          <w:bCs/>
          <w:szCs w:val="21"/>
        </w:rPr>
      </w:pPr>
      <w:r>
        <w:rPr>
          <w:rFonts w:hint="eastAsia" w:ascii="宋体" w:hAnsi="宋体" w:cs="宋体"/>
          <w:b/>
          <w:bCs/>
          <w:szCs w:val="21"/>
        </w:rPr>
        <w:t>3.投标人投标规格和招标文件中规格不一致，而投标人却在此表应答为响应或正偏离时，必须提供充分理由说明（不提供或理由不充分将视为负偏离）；因此种情况在验收时产生争议，采购人有权按照招标文件的原始标准进行验收；</w:t>
      </w:r>
    </w:p>
    <w:p w14:paraId="1F01C26D">
      <w:pPr>
        <w:spacing w:line="440" w:lineRule="exact"/>
        <w:ind w:firstLine="420" w:firstLineChars="200"/>
        <w:rPr>
          <w:rFonts w:ascii="宋体" w:hAnsi="宋体" w:cs="宋体"/>
          <w:szCs w:val="21"/>
        </w:rPr>
      </w:pPr>
      <w:r>
        <w:rPr>
          <w:rFonts w:hint="eastAsia" w:ascii="宋体" w:hAnsi="宋体" w:cs="宋体"/>
          <w:szCs w:val="21"/>
        </w:rPr>
        <w:t>4.如果行数不够，请自行增加。</w:t>
      </w:r>
    </w:p>
    <w:p w14:paraId="4DD7E3CF">
      <w:pPr>
        <w:pStyle w:val="2"/>
        <w:rPr>
          <w:rFonts w:ascii="宋体" w:hAnsi="宋体"/>
          <w:sz w:val="28"/>
          <w:szCs w:val="28"/>
        </w:rPr>
        <w:sectPr>
          <w:pgSz w:w="16838" w:h="11906" w:orient="landscape"/>
          <w:pgMar w:top="1797" w:right="1440" w:bottom="1797" w:left="1440" w:header="851" w:footer="992" w:gutter="0"/>
          <w:cols w:space="720" w:num="1"/>
          <w:docGrid w:type="linesAndChars" w:linePitch="312" w:charSpace="0"/>
        </w:sectPr>
      </w:pPr>
    </w:p>
    <w:p w14:paraId="55202205">
      <w:pPr>
        <w:pStyle w:val="2"/>
      </w:pPr>
      <w:r>
        <w:rPr>
          <w:rFonts w:hint="eastAsia"/>
        </w:rPr>
        <w:t>附件六：</w:t>
      </w:r>
    </w:p>
    <w:p w14:paraId="4AC6CAE3"/>
    <w:p w14:paraId="725190A0">
      <w:pPr>
        <w:pStyle w:val="10"/>
        <w:adjustRightInd w:val="0"/>
        <w:snapToGrid w:val="0"/>
        <w:spacing w:before="0" w:beforeAutospacing="0" w:after="0" w:afterAutospacing="0" w:line="300" w:lineRule="auto"/>
        <w:jc w:val="center"/>
        <w:rPr>
          <w:rFonts w:ascii="宋体" w:hAnsi="宋体" w:eastAsia="宋体"/>
          <w:b/>
          <w:bCs/>
          <w:sz w:val="48"/>
          <w:szCs w:val="48"/>
        </w:rPr>
      </w:pPr>
      <w:r>
        <w:rPr>
          <w:rFonts w:ascii="宋体" w:hAnsi="宋体" w:eastAsia="宋体"/>
          <w:b/>
          <w:bCs/>
          <w:sz w:val="48"/>
          <w:szCs w:val="48"/>
        </w:rPr>
        <w:t>合</w:t>
      </w:r>
      <w:r>
        <w:rPr>
          <w:rFonts w:hint="eastAsia" w:ascii="宋体" w:hAnsi="宋体" w:eastAsia="宋体"/>
          <w:b/>
          <w:bCs/>
          <w:sz w:val="48"/>
          <w:szCs w:val="48"/>
        </w:rPr>
        <w:t xml:space="preserve"> </w:t>
      </w:r>
      <w:r>
        <w:rPr>
          <w:rFonts w:ascii="宋体" w:hAnsi="宋体" w:eastAsia="宋体"/>
          <w:b/>
          <w:bCs/>
          <w:sz w:val="48"/>
          <w:szCs w:val="48"/>
        </w:rPr>
        <w:t>同</w:t>
      </w:r>
    </w:p>
    <w:p w14:paraId="3DA64FD4">
      <w:pPr>
        <w:pStyle w:val="10"/>
        <w:adjustRightInd w:val="0"/>
        <w:snapToGrid w:val="0"/>
        <w:spacing w:before="0" w:beforeAutospacing="0" w:after="0" w:afterAutospacing="0" w:line="300" w:lineRule="auto"/>
        <w:jc w:val="center"/>
        <w:rPr>
          <w:rFonts w:ascii="宋体" w:hAnsi="宋体" w:eastAsia="宋体"/>
          <w:b/>
          <w:bCs/>
          <w:sz w:val="48"/>
          <w:szCs w:val="48"/>
        </w:rPr>
      </w:pPr>
      <w:r>
        <w:rPr>
          <w:rFonts w:hint="eastAsia" w:ascii="宋体" w:hAnsi="宋体" w:eastAsia="宋体"/>
          <w:b/>
          <w:bCs/>
        </w:rPr>
        <w:t>（</w:t>
      </w:r>
      <w:r>
        <w:rPr>
          <w:bCs/>
          <w:sz w:val="21"/>
          <w:szCs w:val="21"/>
        </w:rPr>
        <w:t>参考格式，本合同内容条款在正式签署前可具体补充细化，仅作参考，最终合同以采购人法务审查通过的版本为准</w:t>
      </w:r>
      <w:r>
        <w:rPr>
          <w:rFonts w:hint="eastAsia" w:ascii="宋体" w:hAnsi="宋体" w:eastAsia="宋体"/>
          <w:b/>
          <w:bCs/>
        </w:rPr>
        <w:t>）</w:t>
      </w:r>
    </w:p>
    <w:p w14:paraId="013C1213">
      <w:pPr>
        <w:pStyle w:val="10"/>
        <w:adjustRightInd w:val="0"/>
        <w:snapToGrid w:val="0"/>
        <w:spacing w:before="0" w:beforeAutospacing="0" w:after="0" w:afterAutospacing="0" w:line="300" w:lineRule="auto"/>
        <w:jc w:val="center"/>
        <w:rPr>
          <w:rFonts w:ascii="宋体" w:hAnsi="宋体"/>
          <w:b/>
          <w:bCs/>
          <w:szCs w:val="20"/>
        </w:rPr>
      </w:pPr>
      <w:r>
        <w:rPr>
          <w:rFonts w:hint="eastAsia" w:ascii="宋体" w:hAnsi="宋体"/>
          <w:b/>
          <w:bCs/>
          <w:szCs w:val="20"/>
        </w:rPr>
        <w:t xml:space="preserve">   </w:t>
      </w:r>
    </w:p>
    <w:p w14:paraId="5364D60D">
      <w:pPr>
        <w:tabs>
          <w:tab w:val="left" w:pos="406"/>
        </w:tabs>
        <w:adjustRightInd w:val="0"/>
        <w:snapToGrid w:val="0"/>
        <w:spacing w:line="300" w:lineRule="auto"/>
        <w:jc w:val="center"/>
        <w:rPr>
          <w:rFonts w:hAnsi="宋体"/>
          <w:b/>
          <w:color w:val="000000"/>
          <w:sz w:val="44"/>
          <w:szCs w:val="44"/>
        </w:rPr>
      </w:pPr>
      <w:r>
        <w:rPr>
          <w:rFonts w:hint="eastAsia" w:ascii="宋体" w:hAnsi="宋体" w:cs="宋体"/>
          <w:b/>
          <w:bCs/>
          <w:sz w:val="44"/>
          <w:szCs w:val="44"/>
        </w:rPr>
        <w:t>南京财经大学红山学院计算机课程考试系统软件采购</w:t>
      </w:r>
      <w:r>
        <w:rPr>
          <w:rFonts w:hint="eastAsia" w:hAnsi="宋体"/>
          <w:b/>
          <w:color w:val="000000"/>
          <w:sz w:val="44"/>
          <w:szCs w:val="44"/>
        </w:rPr>
        <w:t>合同</w:t>
      </w:r>
    </w:p>
    <w:p w14:paraId="67BDB60F">
      <w:pPr>
        <w:pStyle w:val="7"/>
        <w:snapToGrid w:val="0"/>
        <w:spacing w:line="300" w:lineRule="auto"/>
        <w:jc w:val="left"/>
        <w:rPr>
          <w:rFonts w:hAnsi="宋体" w:cs="宋体"/>
          <w:color w:val="000000"/>
        </w:rPr>
      </w:pPr>
      <w:r>
        <w:rPr>
          <w:rFonts w:hint="eastAsia" w:hAnsi="宋体" w:cs="宋体"/>
          <w:color w:val="000000"/>
        </w:rPr>
        <w:t>甲方：（采购方）南京财经大学红山学院</w:t>
      </w:r>
    </w:p>
    <w:p w14:paraId="180517E6">
      <w:pPr>
        <w:pStyle w:val="7"/>
        <w:snapToGrid w:val="0"/>
        <w:spacing w:line="300" w:lineRule="auto"/>
        <w:jc w:val="left"/>
        <w:rPr>
          <w:rFonts w:hAnsi="宋体" w:cs="宋体"/>
          <w:color w:val="000000"/>
        </w:rPr>
      </w:pPr>
      <w:r>
        <w:rPr>
          <w:rFonts w:hint="eastAsia" w:hAnsi="宋体" w:cs="宋体"/>
          <w:color w:val="000000"/>
        </w:rPr>
        <w:t xml:space="preserve">乙方：（供应商） </w:t>
      </w:r>
    </w:p>
    <w:p w14:paraId="17944E2F">
      <w:pPr>
        <w:tabs>
          <w:tab w:val="left" w:pos="406"/>
        </w:tabs>
        <w:adjustRightInd w:val="0"/>
        <w:snapToGrid w:val="0"/>
        <w:spacing w:line="300" w:lineRule="auto"/>
        <w:jc w:val="left"/>
        <w:rPr>
          <w:rFonts w:ascii="宋体" w:hAnsi="宋体" w:cs="宋体"/>
          <w:b/>
          <w:color w:val="000000"/>
          <w:szCs w:val="21"/>
        </w:rPr>
      </w:pPr>
      <w:r>
        <w:rPr>
          <w:rFonts w:hint="eastAsia" w:ascii="宋体" w:hAnsi="宋体" w:cs="宋体"/>
          <w:color w:val="000000"/>
          <w:szCs w:val="21"/>
        </w:rPr>
        <w:t>根据《中华人民共和国民法典》的相关规定，甲、乙双方依据</w:t>
      </w:r>
      <w:r>
        <w:rPr>
          <w:rFonts w:hint="eastAsia" w:ascii="宋体" w:hAnsi="宋体" w:cs="宋体"/>
          <w:color w:val="000000"/>
          <w:szCs w:val="21"/>
          <w:u w:val="single"/>
        </w:rPr>
        <w:t>南京财经大学红山学院计算机课程考试系统软件采购项目</w:t>
      </w:r>
      <w:r>
        <w:rPr>
          <w:rFonts w:hint="eastAsia" w:ascii="宋体" w:hAnsi="宋体" w:cs="宋体"/>
          <w:color w:val="000000"/>
          <w:szCs w:val="21"/>
        </w:rPr>
        <w:t>（项目编号：</w:t>
      </w:r>
      <w:r>
        <w:rPr>
          <w:rFonts w:hint="eastAsia" w:ascii="宋体" w:hAnsi="宋体" w:cs="宋体"/>
          <w:color w:val="000000"/>
          <w:szCs w:val="21"/>
          <w:u w:val="single"/>
        </w:rPr>
        <w:t xml:space="preserve"> NCHS20251022-ZB-HW20 </w:t>
      </w:r>
      <w:r>
        <w:rPr>
          <w:rFonts w:hint="eastAsia" w:ascii="宋体" w:hAnsi="宋体" w:cs="宋体"/>
          <w:color w:val="000000"/>
          <w:szCs w:val="21"/>
        </w:rPr>
        <w:t>）的招标结果，本着诚实守信，友好协商的原则签署本合同。</w:t>
      </w:r>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3158"/>
        <w:gridCol w:w="1891"/>
        <w:gridCol w:w="914"/>
        <w:gridCol w:w="873"/>
        <w:gridCol w:w="1033"/>
      </w:tblGrid>
      <w:tr w14:paraId="22150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385" w:type="pct"/>
            <w:vAlign w:val="center"/>
          </w:tcPr>
          <w:p w14:paraId="23BA25EE">
            <w:pPr>
              <w:spacing w:line="300" w:lineRule="auto"/>
              <w:jc w:val="center"/>
              <w:rPr>
                <w:rFonts w:ascii="宋体" w:hAnsi="宋体" w:cs="宋体"/>
                <w:b/>
                <w:szCs w:val="21"/>
              </w:rPr>
            </w:pPr>
            <w:r>
              <w:rPr>
                <w:rFonts w:hint="eastAsia" w:ascii="宋体" w:hAnsi="宋体" w:cs="宋体"/>
                <w:b/>
                <w:szCs w:val="21"/>
              </w:rPr>
              <w:t>序号</w:t>
            </w:r>
          </w:p>
        </w:tc>
        <w:tc>
          <w:tcPr>
            <w:tcW w:w="1852" w:type="pct"/>
            <w:vAlign w:val="center"/>
          </w:tcPr>
          <w:p w14:paraId="3F5F50C9">
            <w:pPr>
              <w:spacing w:line="300" w:lineRule="auto"/>
              <w:jc w:val="center"/>
              <w:rPr>
                <w:rFonts w:ascii="宋体" w:hAnsi="宋体" w:cs="宋体"/>
                <w:b/>
                <w:szCs w:val="21"/>
              </w:rPr>
            </w:pPr>
            <w:r>
              <w:rPr>
                <w:rFonts w:hint="eastAsia" w:ascii="宋体" w:hAnsi="宋体" w:cs="宋体"/>
                <w:b/>
                <w:szCs w:val="21"/>
              </w:rPr>
              <w:t>采购项目</w:t>
            </w:r>
          </w:p>
        </w:tc>
        <w:tc>
          <w:tcPr>
            <w:tcW w:w="1109" w:type="pct"/>
            <w:vAlign w:val="center"/>
          </w:tcPr>
          <w:p w14:paraId="595F998C">
            <w:pPr>
              <w:spacing w:line="300" w:lineRule="auto"/>
              <w:jc w:val="center"/>
              <w:rPr>
                <w:rFonts w:ascii="宋体" w:hAnsi="宋体" w:cs="宋体"/>
                <w:b/>
                <w:szCs w:val="21"/>
              </w:rPr>
            </w:pPr>
            <w:r>
              <w:rPr>
                <w:rFonts w:hint="eastAsia" w:ascii="宋体" w:hAnsi="宋体" w:cs="宋体"/>
                <w:b/>
                <w:szCs w:val="21"/>
              </w:rPr>
              <w:t>数量</w:t>
            </w:r>
          </w:p>
        </w:tc>
        <w:tc>
          <w:tcPr>
            <w:tcW w:w="536" w:type="pct"/>
            <w:vAlign w:val="center"/>
          </w:tcPr>
          <w:p w14:paraId="2DEDA6A8">
            <w:pPr>
              <w:spacing w:line="300" w:lineRule="auto"/>
              <w:jc w:val="center"/>
              <w:rPr>
                <w:rFonts w:ascii="宋体" w:hAnsi="宋体" w:cs="宋体"/>
                <w:b/>
                <w:szCs w:val="21"/>
              </w:rPr>
            </w:pPr>
            <w:r>
              <w:rPr>
                <w:rFonts w:hint="eastAsia" w:ascii="宋体" w:hAnsi="宋体" w:cs="宋体"/>
                <w:b/>
                <w:szCs w:val="21"/>
              </w:rPr>
              <w:t>单价（元）</w:t>
            </w:r>
          </w:p>
        </w:tc>
        <w:tc>
          <w:tcPr>
            <w:tcW w:w="512" w:type="pct"/>
            <w:vAlign w:val="center"/>
          </w:tcPr>
          <w:p w14:paraId="37AEFDED">
            <w:pPr>
              <w:spacing w:line="300" w:lineRule="auto"/>
              <w:jc w:val="center"/>
              <w:rPr>
                <w:rFonts w:ascii="宋体" w:hAnsi="宋体" w:cs="宋体"/>
                <w:b/>
                <w:szCs w:val="21"/>
              </w:rPr>
            </w:pPr>
            <w:r>
              <w:rPr>
                <w:rFonts w:hint="eastAsia" w:ascii="宋体" w:hAnsi="宋体" w:cs="宋体"/>
                <w:b/>
                <w:szCs w:val="21"/>
              </w:rPr>
              <w:t>总价（元）</w:t>
            </w:r>
          </w:p>
        </w:tc>
        <w:tc>
          <w:tcPr>
            <w:tcW w:w="604" w:type="pct"/>
            <w:vAlign w:val="center"/>
          </w:tcPr>
          <w:p w14:paraId="15EF9195">
            <w:pPr>
              <w:spacing w:line="300" w:lineRule="auto"/>
              <w:jc w:val="center"/>
              <w:rPr>
                <w:rFonts w:ascii="宋体" w:hAnsi="宋体" w:cs="宋体"/>
                <w:b/>
                <w:szCs w:val="21"/>
              </w:rPr>
            </w:pPr>
            <w:r>
              <w:rPr>
                <w:rFonts w:hint="eastAsia" w:ascii="宋体" w:hAnsi="宋体" w:cs="宋体"/>
                <w:b/>
                <w:szCs w:val="21"/>
              </w:rPr>
              <w:t>备注</w:t>
            </w:r>
          </w:p>
        </w:tc>
      </w:tr>
      <w:tr w14:paraId="6B82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385" w:type="pct"/>
            <w:tcBorders>
              <w:bottom w:val="single" w:color="000000" w:sz="4" w:space="0"/>
            </w:tcBorders>
            <w:vAlign w:val="center"/>
          </w:tcPr>
          <w:p w14:paraId="4EEC6F1F">
            <w:pPr>
              <w:spacing w:line="300" w:lineRule="auto"/>
              <w:jc w:val="center"/>
              <w:rPr>
                <w:rFonts w:ascii="宋体" w:hAnsi="宋体" w:cs="宋体"/>
                <w:szCs w:val="21"/>
              </w:rPr>
            </w:pPr>
            <w:r>
              <w:rPr>
                <w:rFonts w:hint="eastAsia" w:ascii="宋体" w:hAnsi="宋体" w:cs="宋体"/>
                <w:szCs w:val="21"/>
              </w:rPr>
              <w:t>1</w:t>
            </w:r>
          </w:p>
        </w:tc>
        <w:tc>
          <w:tcPr>
            <w:tcW w:w="1852" w:type="pct"/>
            <w:tcBorders>
              <w:bottom w:val="single" w:color="000000" w:sz="4" w:space="0"/>
            </w:tcBorders>
            <w:vAlign w:val="center"/>
          </w:tcPr>
          <w:p w14:paraId="73D32706">
            <w:pPr>
              <w:spacing w:line="300" w:lineRule="auto"/>
              <w:jc w:val="center"/>
              <w:rPr>
                <w:rFonts w:ascii="宋体" w:hAnsi="宋体" w:cs="宋体"/>
                <w:szCs w:val="21"/>
              </w:rPr>
            </w:pPr>
            <w:r>
              <w:rPr>
                <w:rFonts w:hint="eastAsia" w:ascii="宋体" w:hAnsi="宋体" w:cs="宋体"/>
                <w:szCs w:val="21"/>
              </w:rPr>
              <w:t>计算机课程考试系统平台</w:t>
            </w:r>
          </w:p>
        </w:tc>
        <w:tc>
          <w:tcPr>
            <w:tcW w:w="1109" w:type="pct"/>
            <w:tcBorders>
              <w:bottom w:val="single" w:color="000000" w:sz="4" w:space="0"/>
            </w:tcBorders>
            <w:vAlign w:val="center"/>
          </w:tcPr>
          <w:p w14:paraId="32C88076">
            <w:pPr>
              <w:autoSpaceDN w:val="0"/>
              <w:spacing w:line="300" w:lineRule="auto"/>
              <w:jc w:val="center"/>
              <w:textAlignment w:val="center"/>
              <w:rPr>
                <w:rFonts w:ascii="宋体" w:hAnsi="宋体" w:cs="宋体"/>
                <w:color w:val="000000"/>
                <w:szCs w:val="21"/>
              </w:rPr>
            </w:pPr>
            <w:r>
              <w:rPr>
                <w:rFonts w:hint="eastAsia" w:ascii="宋体" w:hAnsi="宋体" w:cs="宋体"/>
                <w:color w:val="000000"/>
                <w:szCs w:val="21"/>
              </w:rPr>
              <w:t>1套</w:t>
            </w:r>
          </w:p>
        </w:tc>
        <w:tc>
          <w:tcPr>
            <w:tcW w:w="536" w:type="pct"/>
            <w:vAlign w:val="center"/>
          </w:tcPr>
          <w:p w14:paraId="4186EB7B">
            <w:pPr>
              <w:spacing w:line="300" w:lineRule="auto"/>
              <w:ind w:right="210"/>
              <w:jc w:val="center"/>
              <w:rPr>
                <w:rFonts w:ascii="宋体" w:hAnsi="宋体" w:cs="宋体"/>
                <w:szCs w:val="21"/>
              </w:rPr>
            </w:pPr>
          </w:p>
        </w:tc>
        <w:tc>
          <w:tcPr>
            <w:tcW w:w="512" w:type="pct"/>
            <w:vAlign w:val="center"/>
          </w:tcPr>
          <w:p w14:paraId="3B14760D">
            <w:pPr>
              <w:spacing w:line="300" w:lineRule="auto"/>
              <w:ind w:right="210"/>
              <w:jc w:val="center"/>
              <w:rPr>
                <w:rFonts w:ascii="宋体" w:hAnsi="宋体" w:cs="宋体"/>
                <w:szCs w:val="21"/>
              </w:rPr>
            </w:pPr>
          </w:p>
        </w:tc>
        <w:tc>
          <w:tcPr>
            <w:tcW w:w="604" w:type="pct"/>
            <w:vAlign w:val="center"/>
          </w:tcPr>
          <w:p w14:paraId="419BE569">
            <w:pPr>
              <w:spacing w:line="300" w:lineRule="auto"/>
              <w:ind w:right="210"/>
              <w:jc w:val="center"/>
              <w:rPr>
                <w:rFonts w:ascii="宋体" w:hAnsi="宋体" w:cs="宋体"/>
                <w:szCs w:val="21"/>
              </w:rPr>
            </w:pPr>
          </w:p>
        </w:tc>
      </w:tr>
      <w:tr w14:paraId="7433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385" w:type="pct"/>
            <w:tcBorders>
              <w:bottom w:val="single" w:color="000000" w:sz="4" w:space="0"/>
            </w:tcBorders>
            <w:vAlign w:val="center"/>
          </w:tcPr>
          <w:p w14:paraId="6A5B1BD3">
            <w:pPr>
              <w:spacing w:line="300" w:lineRule="auto"/>
              <w:jc w:val="center"/>
              <w:rPr>
                <w:rFonts w:ascii="宋体" w:hAnsi="宋体" w:cs="宋体"/>
                <w:szCs w:val="21"/>
              </w:rPr>
            </w:pPr>
            <w:r>
              <w:rPr>
                <w:rFonts w:hint="eastAsia" w:ascii="宋体" w:hAnsi="宋体" w:cs="宋体"/>
                <w:szCs w:val="21"/>
              </w:rPr>
              <w:t>2</w:t>
            </w:r>
          </w:p>
        </w:tc>
        <w:tc>
          <w:tcPr>
            <w:tcW w:w="1852" w:type="pct"/>
            <w:tcBorders>
              <w:bottom w:val="single" w:color="000000" w:sz="4" w:space="0"/>
            </w:tcBorders>
            <w:vAlign w:val="center"/>
          </w:tcPr>
          <w:p w14:paraId="664DDE0F">
            <w:pPr>
              <w:spacing w:line="300" w:lineRule="auto"/>
              <w:jc w:val="center"/>
              <w:rPr>
                <w:rFonts w:ascii="宋体" w:hAnsi="宋体" w:cs="宋体"/>
                <w:szCs w:val="21"/>
              </w:rPr>
            </w:pPr>
            <w:r>
              <w:rPr>
                <w:rFonts w:hint="eastAsia" w:ascii="宋体" w:hAnsi="宋体" w:cs="宋体"/>
                <w:szCs w:val="21"/>
              </w:rPr>
              <w:t>MS Office2016高级应用课程考试、作业、题库模块</w:t>
            </w:r>
          </w:p>
        </w:tc>
        <w:tc>
          <w:tcPr>
            <w:tcW w:w="1109" w:type="pct"/>
            <w:tcBorders>
              <w:bottom w:val="single" w:color="000000" w:sz="4" w:space="0"/>
            </w:tcBorders>
            <w:vAlign w:val="center"/>
          </w:tcPr>
          <w:p w14:paraId="78932848">
            <w:pPr>
              <w:autoSpaceDN w:val="0"/>
              <w:adjustRightInd w:val="0"/>
              <w:snapToGrid w:val="0"/>
              <w:spacing w:line="300" w:lineRule="auto"/>
              <w:jc w:val="center"/>
              <w:textAlignment w:val="center"/>
              <w:rPr>
                <w:rFonts w:ascii="宋体" w:hAnsi="宋体" w:cs="宋体"/>
                <w:color w:val="000000"/>
                <w:szCs w:val="21"/>
              </w:rPr>
            </w:pPr>
            <w:r>
              <w:rPr>
                <w:rFonts w:hint="eastAsia" w:ascii="宋体" w:hAnsi="宋体" w:cs="宋体"/>
                <w:color w:val="000000"/>
                <w:szCs w:val="21"/>
              </w:rPr>
              <w:t>1科（600点及以上）</w:t>
            </w:r>
          </w:p>
        </w:tc>
        <w:tc>
          <w:tcPr>
            <w:tcW w:w="536" w:type="pct"/>
            <w:vAlign w:val="center"/>
          </w:tcPr>
          <w:p w14:paraId="2CD3C0D9">
            <w:pPr>
              <w:spacing w:line="300" w:lineRule="auto"/>
              <w:ind w:right="210"/>
              <w:jc w:val="center"/>
              <w:rPr>
                <w:rFonts w:ascii="宋体" w:hAnsi="宋体" w:cs="宋体"/>
                <w:szCs w:val="21"/>
              </w:rPr>
            </w:pPr>
          </w:p>
        </w:tc>
        <w:tc>
          <w:tcPr>
            <w:tcW w:w="512" w:type="pct"/>
            <w:vAlign w:val="center"/>
          </w:tcPr>
          <w:p w14:paraId="5A89EDA4">
            <w:pPr>
              <w:spacing w:line="300" w:lineRule="auto"/>
              <w:ind w:right="210"/>
              <w:jc w:val="center"/>
              <w:rPr>
                <w:rFonts w:ascii="宋体" w:hAnsi="宋体" w:cs="宋体"/>
                <w:szCs w:val="21"/>
              </w:rPr>
            </w:pPr>
          </w:p>
        </w:tc>
        <w:tc>
          <w:tcPr>
            <w:tcW w:w="604" w:type="pct"/>
            <w:vAlign w:val="center"/>
          </w:tcPr>
          <w:p w14:paraId="5FBF7805">
            <w:pPr>
              <w:spacing w:line="300" w:lineRule="auto"/>
              <w:ind w:right="210"/>
              <w:jc w:val="center"/>
              <w:rPr>
                <w:rFonts w:ascii="宋体" w:hAnsi="宋体" w:cs="宋体"/>
                <w:szCs w:val="21"/>
              </w:rPr>
            </w:pPr>
          </w:p>
        </w:tc>
      </w:tr>
      <w:tr w14:paraId="4310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385" w:type="pct"/>
            <w:vAlign w:val="center"/>
          </w:tcPr>
          <w:p w14:paraId="598ACF0E">
            <w:pPr>
              <w:spacing w:line="300" w:lineRule="auto"/>
              <w:jc w:val="center"/>
              <w:rPr>
                <w:rFonts w:ascii="宋体" w:hAnsi="宋体" w:cs="宋体"/>
                <w:szCs w:val="21"/>
              </w:rPr>
            </w:pPr>
            <w:r>
              <w:rPr>
                <w:rFonts w:hint="eastAsia" w:ascii="宋体" w:hAnsi="宋体" w:cs="宋体"/>
                <w:szCs w:val="21"/>
              </w:rPr>
              <w:t>3</w:t>
            </w:r>
          </w:p>
        </w:tc>
        <w:tc>
          <w:tcPr>
            <w:tcW w:w="1852" w:type="pct"/>
            <w:vAlign w:val="center"/>
          </w:tcPr>
          <w:p w14:paraId="66B049B7">
            <w:pPr>
              <w:spacing w:line="300" w:lineRule="auto"/>
              <w:jc w:val="center"/>
              <w:rPr>
                <w:rFonts w:ascii="宋体" w:hAnsi="宋体" w:cs="宋体"/>
                <w:szCs w:val="21"/>
              </w:rPr>
            </w:pPr>
            <w:r>
              <w:rPr>
                <w:rFonts w:hint="eastAsia" w:ascii="宋体" w:hAnsi="宋体" w:cs="宋体"/>
                <w:szCs w:val="21"/>
              </w:rPr>
              <w:t>Python课程考试、作业、题库模块</w:t>
            </w:r>
          </w:p>
        </w:tc>
        <w:tc>
          <w:tcPr>
            <w:tcW w:w="1109" w:type="pct"/>
            <w:vAlign w:val="center"/>
          </w:tcPr>
          <w:p w14:paraId="768496BF">
            <w:pPr>
              <w:autoSpaceDN w:val="0"/>
              <w:adjustRightInd w:val="0"/>
              <w:snapToGrid w:val="0"/>
              <w:spacing w:line="300" w:lineRule="auto"/>
              <w:jc w:val="center"/>
              <w:textAlignment w:val="center"/>
              <w:rPr>
                <w:rFonts w:ascii="宋体" w:hAnsi="宋体" w:cs="宋体"/>
                <w:color w:val="000000"/>
                <w:szCs w:val="21"/>
              </w:rPr>
            </w:pPr>
            <w:r>
              <w:rPr>
                <w:rFonts w:hint="eastAsia" w:ascii="宋体" w:hAnsi="宋体" w:cs="宋体"/>
                <w:color w:val="000000"/>
                <w:szCs w:val="21"/>
              </w:rPr>
              <w:t>1科（600点及以上）</w:t>
            </w:r>
          </w:p>
        </w:tc>
        <w:tc>
          <w:tcPr>
            <w:tcW w:w="536" w:type="pct"/>
            <w:vAlign w:val="center"/>
          </w:tcPr>
          <w:p w14:paraId="6B170730">
            <w:pPr>
              <w:spacing w:line="300" w:lineRule="auto"/>
              <w:ind w:right="210"/>
              <w:jc w:val="center"/>
              <w:rPr>
                <w:rFonts w:ascii="宋体" w:hAnsi="宋体" w:cs="宋体"/>
                <w:szCs w:val="21"/>
              </w:rPr>
            </w:pPr>
          </w:p>
        </w:tc>
        <w:tc>
          <w:tcPr>
            <w:tcW w:w="512" w:type="pct"/>
            <w:vAlign w:val="center"/>
          </w:tcPr>
          <w:p w14:paraId="2EC5E391">
            <w:pPr>
              <w:spacing w:line="300" w:lineRule="auto"/>
              <w:ind w:right="210"/>
              <w:jc w:val="center"/>
              <w:rPr>
                <w:rFonts w:ascii="宋体" w:hAnsi="宋体" w:cs="宋体"/>
                <w:szCs w:val="21"/>
              </w:rPr>
            </w:pPr>
          </w:p>
        </w:tc>
        <w:tc>
          <w:tcPr>
            <w:tcW w:w="604" w:type="pct"/>
            <w:vAlign w:val="center"/>
          </w:tcPr>
          <w:p w14:paraId="3B6CFFB2">
            <w:pPr>
              <w:spacing w:line="300" w:lineRule="auto"/>
              <w:ind w:right="210"/>
              <w:jc w:val="center"/>
              <w:rPr>
                <w:rFonts w:ascii="宋体" w:hAnsi="宋体" w:cs="宋体"/>
                <w:szCs w:val="21"/>
              </w:rPr>
            </w:pPr>
          </w:p>
        </w:tc>
      </w:tr>
      <w:tr w14:paraId="0E505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5000" w:type="pct"/>
            <w:gridSpan w:val="6"/>
            <w:vAlign w:val="center"/>
          </w:tcPr>
          <w:p w14:paraId="22EE35A8">
            <w:pPr>
              <w:spacing w:line="300" w:lineRule="auto"/>
              <w:ind w:left="210" w:hanging="210" w:hangingChars="100"/>
              <w:rPr>
                <w:rFonts w:ascii="宋体" w:hAnsi="宋体" w:cs="宋体"/>
                <w:color w:val="000000"/>
                <w:szCs w:val="21"/>
              </w:rPr>
            </w:pPr>
            <w:r>
              <w:rPr>
                <w:rFonts w:hint="eastAsia" w:ascii="宋体" w:hAnsi="宋体" w:cs="宋体"/>
                <w:color w:val="000000"/>
                <w:szCs w:val="21"/>
              </w:rPr>
              <w:t>本合同（含税）合计（大写）：</w:t>
            </w:r>
            <w:r>
              <w:rPr>
                <w:rFonts w:hint="eastAsia" w:ascii="宋体" w:hAnsi="宋体" w:cs="宋体"/>
                <w:color w:val="000000"/>
                <w:szCs w:val="21"/>
                <w:u w:val="single"/>
              </w:rPr>
              <w:t xml:space="preserve">            </w:t>
            </w:r>
            <w:r>
              <w:rPr>
                <w:rFonts w:hint="eastAsia" w:ascii="宋体" w:hAnsi="宋体" w:cs="宋体"/>
                <w:color w:val="000000"/>
                <w:szCs w:val="21"/>
              </w:rPr>
              <w:t xml:space="preserve"> 元整，(小写)：¥ </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36CF3E1">
            <w:pPr>
              <w:spacing w:line="300" w:lineRule="auto"/>
              <w:rPr>
                <w:rFonts w:ascii="宋体" w:hAnsi="宋体" w:cs="宋体"/>
                <w:color w:val="000000"/>
                <w:szCs w:val="21"/>
              </w:rPr>
            </w:pPr>
            <w:r>
              <w:rPr>
                <w:rFonts w:hint="eastAsia" w:ascii="宋体" w:hAnsi="宋体" w:cs="宋体"/>
                <w:color w:val="000000"/>
                <w:szCs w:val="21"/>
              </w:rPr>
              <w:t>其中不含税金额为：</w:t>
            </w:r>
            <w:r>
              <w:rPr>
                <w:rFonts w:hint="eastAsia" w:ascii="宋体" w:hAnsi="宋体" w:cs="宋体"/>
                <w:color w:val="000000"/>
                <w:szCs w:val="21"/>
                <w:u w:val="single"/>
              </w:rPr>
              <w:t xml:space="preserve">       </w:t>
            </w:r>
            <w:r>
              <w:rPr>
                <w:rFonts w:hint="eastAsia" w:ascii="宋体" w:hAnsi="宋体" w:cs="宋体"/>
                <w:color w:val="000000"/>
                <w:szCs w:val="21"/>
              </w:rPr>
              <w:t>元，增值税税率为</w:t>
            </w:r>
            <w:r>
              <w:rPr>
                <w:rFonts w:hint="eastAsia" w:ascii="宋体" w:hAnsi="宋体" w:cs="宋体"/>
                <w:color w:val="000000"/>
                <w:szCs w:val="21"/>
                <w:u w:val="single"/>
              </w:rPr>
              <w:t xml:space="preserve">：      </w:t>
            </w:r>
            <w:r>
              <w:rPr>
                <w:rFonts w:hint="eastAsia" w:ascii="宋体" w:hAnsi="宋体" w:cs="宋体"/>
                <w:color w:val="000000"/>
                <w:szCs w:val="21"/>
              </w:rPr>
              <w:t xml:space="preserve"> ，税额为</w:t>
            </w:r>
            <w:r>
              <w:rPr>
                <w:rFonts w:hint="eastAsia" w:ascii="宋体" w:hAnsi="宋体" w:cs="宋体"/>
                <w:color w:val="000000"/>
                <w:szCs w:val="21"/>
                <w:u w:val="single"/>
              </w:rPr>
              <w:t xml:space="preserve">：    </w:t>
            </w:r>
            <w:r>
              <w:rPr>
                <w:rFonts w:hint="eastAsia" w:ascii="宋体" w:hAnsi="宋体" w:cs="宋体"/>
                <w:color w:val="000000"/>
                <w:szCs w:val="21"/>
              </w:rPr>
              <w:t>元</w:t>
            </w:r>
          </w:p>
        </w:tc>
      </w:tr>
    </w:tbl>
    <w:p w14:paraId="2E99FF24">
      <w:pPr>
        <w:pStyle w:val="7"/>
        <w:snapToGrid w:val="0"/>
        <w:spacing w:line="300" w:lineRule="auto"/>
        <w:ind w:firstLine="420" w:firstLineChars="200"/>
        <w:rPr>
          <w:rFonts w:hAnsi="宋体" w:cs="宋体"/>
          <w:b/>
          <w:color w:val="000000"/>
          <w:sz w:val="21"/>
          <w:szCs w:val="21"/>
        </w:rPr>
      </w:pPr>
      <w:r>
        <w:rPr>
          <w:rFonts w:hint="eastAsia" w:hAnsi="宋体" w:cs="宋体"/>
          <w:b/>
          <w:color w:val="000000"/>
          <w:sz w:val="21"/>
          <w:szCs w:val="21"/>
        </w:rPr>
        <w:t>乙方承诺货物的技术规格、性能指标、功能要求及质量标准均应完全符合本项目招标文件第五项中约定的“主要技术参数及要求”的规定，并同时满足乙方在投标文件（特别是《技术条款偏离表》）中所作出的任何承诺与说明。该合同已包含可以实现甲方需求的全部硬件及软件设施，招标文件相关章节及经双方确认的投标文件相关内容作为本合同附件，与本合同具有同等法律效力。</w:t>
      </w:r>
    </w:p>
    <w:p w14:paraId="262C8F49">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二、技术资料</w:t>
      </w:r>
    </w:p>
    <w:p w14:paraId="2F7E67FC">
      <w:pPr>
        <w:pStyle w:val="7"/>
        <w:snapToGrid w:val="0"/>
        <w:spacing w:line="300" w:lineRule="auto"/>
        <w:ind w:firstLine="420" w:firstLineChars="200"/>
        <w:rPr>
          <w:rFonts w:hAnsi="宋体" w:cs="宋体"/>
          <w:color w:val="000000"/>
        </w:rPr>
      </w:pPr>
      <w:r>
        <w:rPr>
          <w:rFonts w:hint="eastAsia" w:hAnsi="宋体" w:cs="宋体"/>
          <w:color w:val="000000"/>
        </w:rPr>
        <w:t>1.乙方应按采购文件规定的时间向甲方提供使用货物的有关技术资料。</w:t>
      </w:r>
    </w:p>
    <w:p w14:paraId="716A1A10">
      <w:pPr>
        <w:pStyle w:val="7"/>
        <w:snapToGrid w:val="0"/>
        <w:spacing w:line="300" w:lineRule="auto"/>
        <w:ind w:firstLine="420" w:firstLineChars="200"/>
        <w:rPr>
          <w:rFonts w:hAnsi="宋体" w:cs="宋体"/>
          <w:color w:val="000000"/>
        </w:rPr>
      </w:pPr>
      <w:r>
        <w:rPr>
          <w:rFonts w:hint="eastAsia" w:hAnsi="宋体" w:cs="宋体"/>
          <w:color w:val="000000"/>
        </w:rPr>
        <w:t>2 .没有甲方事先书面同意，乙方不得将由甲方提供的有关合同或任何合同条文、计划、图纸、或资料提供给与履行本合同无关的任何其他人。即使向履行本合同有关的人员提供，也应注意保密并限于履行合同的必需范围。</w:t>
      </w:r>
    </w:p>
    <w:p w14:paraId="2D273B9B">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三、知识产权</w:t>
      </w:r>
    </w:p>
    <w:p w14:paraId="1451928E">
      <w:pPr>
        <w:pStyle w:val="7"/>
        <w:snapToGrid w:val="0"/>
        <w:spacing w:line="300" w:lineRule="auto"/>
        <w:ind w:firstLine="420" w:firstLineChars="200"/>
        <w:rPr>
          <w:rFonts w:hAnsi="宋体" w:cs="宋体"/>
          <w:color w:val="000000"/>
        </w:rPr>
      </w:pPr>
      <w:r>
        <w:rPr>
          <w:rFonts w:hint="eastAsia" w:hAnsi="宋体" w:cs="宋体"/>
          <w:color w:val="000000"/>
        </w:rPr>
        <w:t>1.乙方应保证甲方在使用、接受本合同货物和服务或其任何一部分时不受第三方提出侵犯其专利权、版权、商标权和工业设计权等知识产权的起诉。如甲方因本合同的签订以及使用本合同约定的货物而受到任何第三方的侵权索赔并遭受损失的，乙方应对甲方遭受的一切损失承担赔偿责任。</w:t>
      </w:r>
    </w:p>
    <w:p w14:paraId="3FE0C6CD">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四、产权担保</w:t>
      </w:r>
    </w:p>
    <w:p w14:paraId="46FCE7BC">
      <w:pPr>
        <w:pStyle w:val="7"/>
        <w:snapToGrid w:val="0"/>
        <w:spacing w:line="300" w:lineRule="auto"/>
        <w:ind w:firstLine="420" w:firstLineChars="200"/>
        <w:rPr>
          <w:rFonts w:hAnsi="宋体" w:cs="宋体"/>
          <w:color w:val="000000"/>
        </w:rPr>
      </w:pPr>
      <w:r>
        <w:rPr>
          <w:rFonts w:hint="eastAsia" w:hAnsi="宋体" w:cs="宋体"/>
          <w:color w:val="000000"/>
        </w:rPr>
        <w:t>1.乙方保证所交付的货物无任何抵押、查封等产权瑕疵。</w:t>
      </w:r>
    </w:p>
    <w:p w14:paraId="7A83DCB9">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五、转包或分包</w:t>
      </w:r>
    </w:p>
    <w:p w14:paraId="67386615">
      <w:pPr>
        <w:pStyle w:val="7"/>
        <w:snapToGrid w:val="0"/>
        <w:spacing w:line="300" w:lineRule="auto"/>
        <w:ind w:firstLine="420" w:firstLineChars="200"/>
        <w:rPr>
          <w:rFonts w:hAnsi="宋体" w:cs="宋体"/>
          <w:color w:val="000000"/>
        </w:rPr>
      </w:pPr>
      <w:r>
        <w:rPr>
          <w:rFonts w:hint="eastAsia" w:hAnsi="宋体" w:cs="宋体"/>
          <w:color w:val="000000"/>
        </w:rPr>
        <w:t>1.本合同范围的货物，应由乙方直接供应，不得转让他人供应。</w:t>
      </w:r>
    </w:p>
    <w:p w14:paraId="52BE66A9">
      <w:pPr>
        <w:pStyle w:val="7"/>
        <w:snapToGrid w:val="0"/>
        <w:spacing w:line="300" w:lineRule="auto"/>
        <w:ind w:firstLine="420" w:firstLineChars="200"/>
        <w:rPr>
          <w:rFonts w:hAnsi="宋体" w:cs="宋体"/>
          <w:color w:val="000000"/>
        </w:rPr>
      </w:pPr>
      <w:r>
        <w:rPr>
          <w:rFonts w:hint="eastAsia" w:hAnsi="宋体" w:cs="宋体"/>
          <w:color w:val="000000"/>
        </w:rPr>
        <w:t>2.除非得到甲方的书面同意，乙方不得部分分包给他人供应。</w:t>
      </w:r>
    </w:p>
    <w:p w14:paraId="32FEEE8B">
      <w:pPr>
        <w:pStyle w:val="7"/>
        <w:snapToGrid w:val="0"/>
        <w:spacing w:line="300" w:lineRule="auto"/>
        <w:ind w:firstLine="420" w:firstLineChars="200"/>
        <w:rPr>
          <w:rFonts w:hAnsi="宋体" w:cs="宋体"/>
          <w:color w:val="000000"/>
        </w:rPr>
      </w:pPr>
      <w:r>
        <w:rPr>
          <w:rFonts w:hint="eastAsia" w:hAnsi="宋体" w:cs="宋体"/>
          <w:color w:val="000000"/>
        </w:rPr>
        <w:t>3.如有转让和未经甲方同意的分包行为，甲方有权终止合同，并且不承担违约责任，且甲方有权就所受损失向乙方追索。</w:t>
      </w:r>
    </w:p>
    <w:p w14:paraId="4A60B714">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六、履约保证金</w:t>
      </w:r>
    </w:p>
    <w:p w14:paraId="46B0FD6E">
      <w:pPr>
        <w:pStyle w:val="7"/>
        <w:snapToGrid w:val="0"/>
        <w:spacing w:line="300" w:lineRule="auto"/>
        <w:ind w:firstLine="420" w:firstLineChars="200"/>
        <w:rPr>
          <w:rFonts w:hAnsi="宋体" w:cs="宋体"/>
          <w:b/>
          <w:color w:val="000000"/>
        </w:rPr>
      </w:pPr>
      <w:r>
        <w:rPr>
          <w:rFonts w:hint="eastAsia" w:hAnsi="宋体" w:cs="宋体"/>
        </w:rPr>
        <w:t>中标人在收到中标通知书后，签订合同前缴纳中标金额的10%作为履约保证金。合同履行完毕后且无履约纠纷30日内无息退回。</w:t>
      </w:r>
    </w:p>
    <w:p w14:paraId="42328D70">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七、免费质保期</w:t>
      </w:r>
    </w:p>
    <w:p w14:paraId="031C0A6E">
      <w:pPr>
        <w:pStyle w:val="7"/>
        <w:snapToGrid w:val="0"/>
        <w:spacing w:line="300" w:lineRule="auto"/>
        <w:ind w:firstLine="420" w:firstLineChars="200"/>
        <w:rPr>
          <w:rFonts w:hAnsi="宋体" w:cs="宋体"/>
        </w:rPr>
      </w:pPr>
      <w:r>
        <w:rPr>
          <w:rFonts w:hint="eastAsia" w:hAnsi="宋体" w:cs="宋体"/>
        </w:rPr>
        <w:t>1.质量保证期：本合同项下货物的质量保证期为自最终验收合格之日起3年。</w:t>
      </w:r>
    </w:p>
    <w:p w14:paraId="188491BB">
      <w:pPr>
        <w:pStyle w:val="7"/>
        <w:snapToGrid w:val="0"/>
        <w:spacing w:line="300" w:lineRule="auto"/>
        <w:ind w:firstLine="420" w:firstLineChars="200"/>
        <w:rPr>
          <w:rFonts w:hAnsi="宋体" w:cs="宋体"/>
          <w:b/>
          <w:color w:val="000000"/>
        </w:rPr>
      </w:pPr>
      <w:r>
        <w:rPr>
          <w:rFonts w:hint="eastAsia" w:hAnsi="宋体" w:cs="宋体"/>
        </w:rPr>
        <w:t>2.免费升级及服务期：乙方承诺自最终验收合格之日起，提供不少于3年的免费软件升级与技术维护服务。升级与服务内容包括：bug修复、安全补丁、为适配主流操作系统及数据库环境而进行的版本升级等。</w:t>
      </w:r>
    </w:p>
    <w:p w14:paraId="0785633E">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八、交货期、交货方式</w:t>
      </w:r>
    </w:p>
    <w:p w14:paraId="76C5F296">
      <w:pPr>
        <w:pStyle w:val="7"/>
        <w:snapToGrid w:val="0"/>
        <w:spacing w:line="300" w:lineRule="auto"/>
        <w:ind w:firstLine="420" w:firstLineChars="200"/>
        <w:rPr>
          <w:rFonts w:hAnsi="宋体" w:cs="宋体"/>
          <w:bCs/>
          <w:color w:val="000000"/>
        </w:rPr>
      </w:pPr>
      <w:r>
        <w:rPr>
          <w:rFonts w:hint="eastAsia" w:hAnsi="宋体" w:cs="宋体"/>
          <w:bCs/>
          <w:color w:val="000000"/>
        </w:rPr>
        <w:t>1.交货期：   年    月    日前或合同签订之日起   个日历日内</w:t>
      </w:r>
    </w:p>
    <w:p w14:paraId="1A8D4EFE">
      <w:pPr>
        <w:pStyle w:val="7"/>
        <w:snapToGrid w:val="0"/>
        <w:spacing w:line="300" w:lineRule="auto"/>
        <w:ind w:firstLine="420" w:firstLineChars="200"/>
        <w:rPr>
          <w:rFonts w:hAnsi="宋体" w:cs="宋体"/>
          <w:bCs/>
          <w:color w:val="000000"/>
        </w:rPr>
      </w:pPr>
      <w:r>
        <w:rPr>
          <w:rFonts w:hint="eastAsia" w:hAnsi="宋体" w:cs="宋体"/>
          <w:bCs/>
          <w:color w:val="000000"/>
        </w:rPr>
        <w:t>2.交货方式：根据甲方需要</w:t>
      </w:r>
    </w:p>
    <w:p w14:paraId="10084325">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九、货款支付</w:t>
      </w:r>
    </w:p>
    <w:p w14:paraId="3ABF8456">
      <w:pPr>
        <w:pStyle w:val="7"/>
        <w:snapToGrid w:val="0"/>
        <w:spacing w:line="300" w:lineRule="auto"/>
        <w:ind w:firstLine="420" w:firstLineChars="200"/>
        <w:jc w:val="left"/>
        <w:rPr>
          <w:rFonts w:hint="eastAsia" w:ascii="宋体" w:hAnsi="宋体" w:cs="宋体"/>
          <w:bCs/>
          <w:szCs w:val="21"/>
        </w:rPr>
      </w:pPr>
      <w:r>
        <w:rPr>
          <w:rFonts w:hint="eastAsia" w:hAnsi="宋体" w:cs="宋体"/>
          <w:bCs/>
          <w:color w:val="000000"/>
        </w:rPr>
        <w:t>1.</w:t>
      </w:r>
      <w:r>
        <w:rPr>
          <w:rFonts w:hint="eastAsia" w:hAnsi="宋体" w:cs="宋体"/>
          <w:bCs/>
        </w:rPr>
        <w:t>合同签订后，乙方送货到甲方指定地点后根据乙方申请，甲方组织项目验收</w:t>
      </w:r>
      <w:r>
        <w:rPr>
          <w:rFonts w:hint="eastAsia" w:hAnsi="宋体" w:cs="宋体"/>
          <w:bCs/>
          <w:lang w:eastAsia="zh-CN"/>
        </w:rPr>
        <w:t>，</w:t>
      </w:r>
      <w:r>
        <w:rPr>
          <w:rFonts w:hint="eastAsia" w:ascii="宋体" w:hAnsi="宋体" w:cs="宋体"/>
          <w:bCs/>
          <w:szCs w:val="21"/>
        </w:rPr>
        <w:t>通过采购人组织的正式验收合格且无争议，半年后支付全部货款的【60】%，满一年后支付全部货款的【30】%，全部货款的【10】%作为质保金。如无质量问题，每年按照质保期限等比例无息支付。遇寒暑假顺延，供应商开具全额增值税普通发票。</w:t>
      </w:r>
    </w:p>
    <w:p w14:paraId="41FB6E98">
      <w:pPr>
        <w:pStyle w:val="7"/>
        <w:snapToGrid w:val="0"/>
        <w:spacing w:line="300" w:lineRule="auto"/>
        <w:ind w:firstLine="420" w:firstLineChars="200"/>
        <w:jc w:val="left"/>
        <w:rPr>
          <w:rFonts w:hAnsi="宋体" w:cs="宋体"/>
          <w:bCs/>
        </w:rPr>
      </w:pPr>
      <w:bookmarkStart w:id="8" w:name="_GoBack"/>
      <w:bookmarkEnd w:id="8"/>
      <w:r>
        <w:rPr>
          <w:rFonts w:hint="eastAsia" w:hAnsi="宋体" w:cs="宋体"/>
          <w:bCs/>
        </w:rPr>
        <w:t>2.</w:t>
      </w:r>
      <w:r>
        <w:rPr>
          <w:rFonts w:hint="eastAsia" w:hAnsi="宋体" w:cs="宋体"/>
        </w:rPr>
        <w:t>当采购数量与实际使用数量不一致时，乙方应根据实际使用量供货，合同的最终结算金额按实际使用量进行计算。</w:t>
      </w:r>
    </w:p>
    <w:p w14:paraId="7CF30478">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十、税费</w:t>
      </w:r>
    </w:p>
    <w:p w14:paraId="6F727C93">
      <w:pPr>
        <w:pStyle w:val="7"/>
        <w:snapToGrid w:val="0"/>
        <w:spacing w:line="300" w:lineRule="auto"/>
        <w:ind w:firstLine="420" w:firstLineChars="200"/>
        <w:jc w:val="left"/>
        <w:rPr>
          <w:rFonts w:hAnsi="宋体" w:cs="宋体"/>
          <w:color w:val="000000"/>
        </w:rPr>
      </w:pPr>
      <w:r>
        <w:rPr>
          <w:rFonts w:hint="eastAsia" w:hAnsi="宋体" w:cs="宋体"/>
          <w:color w:val="000000"/>
        </w:rPr>
        <w:t>1.投标报价为一次性报价方式，包括产品本身价格、包装费、运输费、验收费、配件费、技术服务费（包括技术资料、图纸提供等）、伴随服务及因产品本身及供货相关的各种税金等全部费用。本合同执行中相关的一切税费均由乙方负担。</w:t>
      </w:r>
    </w:p>
    <w:p w14:paraId="6A56EB8D">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十一、质量保证及售后服务</w:t>
      </w:r>
    </w:p>
    <w:p w14:paraId="7E54C1C3">
      <w:pPr>
        <w:pStyle w:val="7"/>
        <w:snapToGrid w:val="0"/>
        <w:spacing w:line="300" w:lineRule="auto"/>
        <w:ind w:firstLine="420" w:firstLineChars="200"/>
        <w:rPr>
          <w:rFonts w:hAnsi="宋体" w:cs="宋体"/>
          <w:color w:val="000000"/>
        </w:rPr>
      </w:pPr>
      <w:r>
        <w:rPr>
          <w:rFonts w:hint="eastAsia" w:hAnsi="宋体" w:cs="宋体"/>
          <w:color w:val="000000"/>
        </w:rPr>
        <w:t>1.乙方应按采购文件规定的货物性能、技术要求、质量标准向甲方提供未经使用的全新产品。</w:t>
      </w:r>
    </w:p>
    <w:p w14:paraId="4E5DC6AF">
      <w:pPr>
        <w:pStyle w:val="7"/>
        <w:snapToGrid w:val="0"/>
        <w:spacing w:line="300" w:lineRule="auto"/>
        <w:ind w:firstLine="420" w:firstLineChars="200"/>
        <w:jc w:val="left"/>
        <w:rPr>
          <w:rFonts w:hAnsi="宋体" w:cs="宋体"/>
          <w:color w:val="000000"/>
        </w:rPr>
      </w:pPr>
      <w:r>
        <w:rPr>
          <w:rFonts w:hint="eastAsia" w:hAnsi="宋体" w:cs="宋体"/>
          <w:color w:val="000000"/>
        </w:rPr>
        <w:t>2.乙方提供的货物在质保期内因货物本身的质量问题发生故障，乙方应负责免费更换。对经两次更换仍达不到技术要求者，应予退货处理。乙方应退还甲方支付的合同款，同时应承担该货物的直接费用（运输、保险、检验、货款利息及银行手续费等）。</w:t>
      </w:r>
    </w:p>
    <w:p w14:paraId="7083A7FE">
      <w:pPr>
        <w:adjustRightInd w:val="0"/>
        <w:snapToGrid w:val="0"/>
        <w:spacing w:line="300" w:lineRule="auto"/>
        <w:ind w:firstLine="420" w:firstLineChars="200"/>
        <w:rPr>
          <w:rFonts w:ascii="宋体" w:hAnsi="宋体" w:cs="宋体"/>
          <w:color w:val="000000"/>
          <w:szCs w:val="21"/>
        </w:rPr>
      </w:pPr>
      <w:r>
        <w:rPr>
          <w:rFonts w:hint="eastAsia" w:ascii="宋体" w:hAnsi="宋体" w:cs="宋体"/>
          <w:color w:val="000000"/>
          <w:szCs w:val="21"/>
        </w:rPr>
        <w:t>3.服务响应：</w:t>
      </w:r>
    </w:p>
    <w:p w14:paraId="39F4EA80">
      <w:pPr>
        <w:adjustRightInd w:val="0"/>
        <w:snapToGrid w:val="0"/>
        <w:spacing w:line="300" w:lineRule="auto"/>
        <w:ind w:firstLine="420" w:firstLineChars="200"/>
        <w:rPr>
          <w:rFonts w:ascii="宋体" w:hAnsi="宋体" w:cs="宋体"/>
          <w:color w:val="000000"/>
          <w:szCs w:val="21"/>
        </w:rPr>
      </w:pPr>
      <w:r>
        <w:rPr>
          <w:rFonts w:hint="eastAsia" w:ascii="宋体" w:hAnsi="宋体" w:cs="宋体"/>
          <w:color w:val="000000"/>
          <w:szCs w:val="21"/>
        </w:rPr>
        <w:t>（1）乙方应提供7×24小时技术支持热线。对于导致系统完全不可用的重大故障，乙方应在接到甲方通知后15分钟内响应，2小时内提出解决方案，并尽最大努力在4小时内恢复系统基本功能。</w:t>
      </w:r>
    </w:p>
    <w:p w14:paraId="0D7D37A2">
      <w:pPr>
        <w:adjustRightInd w:val="0"/>
        <w:snapToGrid w:val="0"/>
        <w:spacing w:line="300" w:lineRule="auto"/>
        <w:ind w:firstLine="420" w:firstLineChars="200"/>
        <w:rPr>
          <w:rFonts w:ascii="宋体" w:hAnsi="宋体" w:cs="宋体"/>
          <w:color w:val="000000"/>
          <w:szCs w:val="21"/>
        </w:rPr>
      </w:pPr>
      <w:r>
        <w:rPr>
          <w:rFonts w:hint="eastAsia" w:ascii="宋体" w:hAnsi="宋体" w:cs="宋体"/>
          <w:color w:val="000000"/>
          <w:szCs w:val="21"/>
        </w:rPr>
        <w:t>（2）对于一般性故障，乙方应在2小时内响应，并在24小时内提供解决方案。</w:t>
      </w:r>
    </w:p>
    <w:p w14:paraId="2EDEBBDF">
      <w:pPr>
        <w:adjustRightInd w:val="0"/>
        <w:snapToGrid w:val="0"/>
        <w:spacing w:line="300" w:lineRule="auto"/>
        <w:ind w:firstLine="420" w:firstLineChars="200"/>
        <w:rPr>
          <w:rFonts w:ascii="宋体" w:hAnsi="宋体" w:cs="宋体"/>
          <w:szCs w:val="21"/>
        </w:rPr>
      </w:pPr>
      <w:r>
        <w:rPr>
          <w:rFonts w:hint="eastAsia" w:ascii="宋体" w:hAnsi="宋体" w:cs="宋体"/>
          <w:color w:val="000000"/>
          <w:szCs w:val="21"/>
        </w:rPr>
        <w:t>（3）本条款所述“响应”指乙方通过电话、邮件等方式与甲方取得联系，并开始实质性故障排查工作。</w:t>
      </w:r>
    </w:p>
    <w:p w14:paraId="6BD7BD63">
      <w:pPr>
        <w:pStyle w:val="7"/>
        <w:snapToGrid w:val="0"/>
        <w:spacing w:line="300" w:lineRule="auto"/>
        <w:ind w:firstLine="420" w:firstLineChars="200"/>
        <w:rPr>
          <w:rFonts w:hAnsi="宋体" w:cs="宋体"/>
          <w:color w:val="000000"/>
        </w:rPr>
      </w:pPr>
      <w:r>
        <w:rPr>
          <w:rFonts w:hint="eastAsia" w:hAnsi="宋体" w:cs="宋体"/>
          <w:color w:val="000000"/>
        </w:rPr>
        <w:t>4.乙方需对甲方的使用人员进行现场讲解培训，培训内容包括设备操作、设备维护及简单的设备维修等，直至技术人员、操作人员能够熟练掌握为止，免费提供设备使用手册、培训教材、应用文章等。保证甲方掌握基本操作，可以正确操作使用设备。</w:t>
      </w:r>
    </w:p>
    <w:p w14:paraId="05AFC4C1">
      <w:pPr>
        <w:pStyle w:val="7"/>
        <w:snapToGrid w:val="0"/>
        <w:spacing w:line="300" w:lineRule="auto"/>
        <w:ind w:firstLine="420" w:firstLineChars="200"/>
        <w:rPr>
          <w:rFonts w:hAnsi="宋体" w:cs="宋体"/>
          <w:color w:val="000000"/>
        </w:rPr>
      </w:pPr>
      <w:r>
        <w:rPr>
          <w:rFonts w:hint="eastAsia" w:hAnsi="宋体" w:cs="宋体"/>
          <w:color w:val="000000"/>
        </w:rPr>
        <w:t>5.在质保期内，免费上门维修，乙方应对货物出现的质量及安全问题负责处理解决并承担一切费用。</w:t>
      </w:r>
    </w:p>
    <w:p w14:paraId="563802A0">
      <w:pPr>
        <w:pStyle w:val="7"/>
        <w:snapToGrid w:val="0"/>
        <w:spacing w:line="300" w:lineRule="auto"/>
        <w:ind w:firstLine="420" w:firstLineChars="200"/>
        <w:rPr>
          <w:rFonts w:hint="eastAsia" w:hAnsi="宋体" w:cs="宋体"/>
        </w:rPr>
      </w:pPr>
      <w:r>
        <w:rPr>
          <w:rFonts w:hint="eastAsia" w:hAnsi="宋体" w:cs="宋体"/>
          <w:color w:val="000000"/>
        </w:rPr>
        <w:t>6.整套产品要求质保期内提供免费的功能性完善和技术维护。质保期满后，出现产品故障时，乙方仍需做好售后服务，及时处理解决</w:t>
      </w:r>
      <w:r>
        <w:rPr>
          <w:rFonts w:hint="eastAsia" w:hAnsi="宋体" w:cs="宋体"/>
        </w:rPr>
        <w:t>。</w:t>
      </w:r>
    </w:p>
    <w:p w14:paraId="00013DA0">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十二、调试和验收</w:t>
      </w:r>
    </w:p>
    <w:p w14:paraId="79640FAA">
      <w:pPr>
        <w:pStyle w:val="7"/>
        <w:snapToGrid w:val="0"/>
        <w:spacing w:line="300" w:lineRule="auto"/>
        <w:ind w:firstLine="420" w:firstLineChars="200"/>
        <w:rPr>
          <w:rFonts w:hAnsi="宋体" w:cs="宋体"/>
          <w:color w:val="000000"/>
        </w:rPr>
      </w:pPr>
      <w:r>
        <w:rPr>
          <w:rFonts w:hint="eastAsia" w:hAnsi="宋体" w:cs="宋体"/>
          <w:color w:val="000000"/>
        </w:rPr>
        <w:t>1.验收应分阶段进行，包括安装调试验收、初步验收和最终验收。</w:t>
      </w:r>
    </w:p>
    <w:p w14:paraId="5DBB8F7E">
      <w:pPr>
        <w:pStyle w:val="7"/>
        <w:snapToGrid w:val="0"/>
        <w:spacing w:line="300" w:lineRule="auto"/>
        <w:ind w:firstLine="420" w:firstLineChars="200"/>
        <w:rPr>
          <w:rFonts w:hAnsi="宋体" w:cs="宋体"/>
          <w:color w:val="000000"/>
        </w:rPr>
      </w:pPr>
      <w:r>
        <w:rPr>
          <w:rFonts w:hint="eastAsia" w:hAnsi="宋体" w:cs="宋体"/>
          <w:color w:val="000000"/>
        </w:rPr>
        <w:t>2.安装调试验收：乙方完成安装调试后，应向甲方提交书面申请。甲方在5个工作日内对软件是否安装完毕、能否正常启动进行验收。</w:t>
      </w:r>
    </w:p>
    <w:p w14:paraId="033E7C24">
      <w:pPr>
        <w:pStyle w:val="7"/>
        <w:snapToGrid w:val="0"/>
        <w:spacing w:line="300" w:lineRule="auto"/>
        <w:ind w:firstLine="420" w:firstLineChars="200"/>
        <w:rPr>
          <w:rFonts w:hAnsi="宋体" w:cs="宋体"/>
          <w:color w:val="000000"/>
        </w:rPr>
      </w:pPr>
      <w:r>
        <w:rPr>
          <w:rFonts w:hint="eastAsia" w:hAnsi="宋体" w:cs="宋体"/>
          <w:color w:val="000000"/>
        </w:rPr>
        <w:t>3.初步验收（试运行）：安装调试验收合格后，进入为期30日的试运行期。试运行期内，甲方将依据</w:t>
      </w:r>
      <w:r>
        <w:rPr>
          <w:rFonts w:hint="eastAsia" w:hAnsi="宋体" w:cs="宋体"/>
          <w:color w:val="000000"/>
          <w:lang w:val="en-US" w:eastAsia="zh-CN"/>
        </w:rPr>
        <w:t>采购文件</w:t>
      </w:r>
      <w:r>
        <w:rPr>
          <w:rFonts w:hint="eastAsia" w:hAnsi="宋体" w:cs="宋体"/>
          <w:color w:val="000000"/>
        </w:rPr>
        <w:t>的技术要求</w:t>
      </w:r>
      <w:r>
        <w:rPr>
          <w:rFonts w:hint="eastAsia" w:hAnsi="宋体" w:cs="宋体"/>
          <w:color w:val="000000"/>
          <w:lang w:val="en-US" w:eastAsia="zh-CN"/>
        </w:rPr>
        <w:t>进行初步验收，</w:t>
      </w:r>
      <w:r>
        <w:rPr>
          <w:rFonts w:hint="eastAsia" w:hAnsi="宋体" w:cs="宋体"/>
          <w:color w:val="000000"/>
        </w:rPr>
        <w:t>如系统稳定运行并通过测试</w:t>
      </w:r>
      <w:r>
        <w:rPr>
          <w:rFonts w:hint="eastAsia" w:hAnsi="宋体" w:cs="宋体"/>
          <w:color w:val="000000"/>
          <w:lang w:eastAsia="zh-CN"/>
        </w:rPr>
        <w:t>，</w:t>
      </w:r>
      <w:r>
        <w:rPr>
          <w:rFonts w:hint="eastAsia" w:hAnsi="宋体" w:cs="宋体"/>
          <w:color w:val="000000"/>
          <w:lang w:val="en-US" w:eastAsia="zh-CN"/>
        </w:rPr>
        <w:t>出具测试说明，</w:t>
      </w:r>
      <w:r>
        <w:rPr>
          <w:rFonts w:hint="eastAsia" w:hAnsi="宋体" w:cs="宋体"/>
          <w:color w:val="000000"/>
        </w:rPr>
        <w:t>初步验收即为合格。</w:t>
      </w:r>
    </w:p>
    <w:p w14:paraId="19687209">
      <w:pPr>
        <w:pStyle w:val="7"/>
        <w:snapToGrid w:val="0"/>
        <w:spacing w:line="300" w:lineRule="auto"/>
        <w:ind w:firstLine="420" w:firstLineChars="200"/>
        <w:rPr>
          <w:rFonts w:hAnsi="宋体" w:cs="宋体"/>
          <w:color w:val="000000"/>
        </w:rPr>
      </w:pPr>
      <w:r>
        <w:rPr>
          <w:rFonts w:hint="eastAsia" w:hAnsi="宋体" w:cs="宋体"/>
          <w:color w:val="000000"/>
        </w:rPr>
        <w:t>4.最终验收：初步验收合格后，乙方可提请最终验收。甲方在10个工作日内组织最终验收。最终验收通过后，双方签署《最终验收报告》。</w:t>
      </w:r>
    </w:p>
    <w:p w14:paraId="43ACB937">
      <w:pPr>
        <w:pStyle w:val="7"/>
        <w:snapToGrid w:val="0"/>
        <w:spacing w:line="300" w:lineRule="auto"/>
        <w:ind w:right="0" w:firstLine="420" w:firstLineChars="200"/>
        <w:rPr>
          <w:rFonts w:hAnsi="宋体" w:cs="宋体"/>
          <w:color w:val="000000"/>
        </w:rPr>
      </w:pPr>
      <w:r>
        <w:rPr>
          <w:rFonts w:hint="eastAsia" w:hAnsi="宋体" w:cs="宋体"/>
          <w:color w:val="000000"/>
        </w:rPr>
        <w:t>5.若任何一次验收未通过，乙方应在15日内整改并重新提交验收，相关费用由乙方承担。若累计2次验收均未通过，甲方有权单方解除合同，并要求乙方按本合同第十四条承担违约责任。</w:t>
      </w:r>
    </w:p>
    <w:p w14:paraId="099AAE94">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十三、违约责任</w:t>
      </w:r>
    </w:p>
    <w:p w14:paraId="5902EE3D">
      <w:pPr>
        <w:pStyle w:val="7"/>
        <w:snapToGrid w:val="0"/>
        <w:spacing w:line="300" w:lineRule="auto"/>
        <w:ind w:firstLine="420" w:firstLineChars="200"/>
        <w:rPr>
          <w:rFonts w:hAnsi="宋体" w:cs="宋体"/>
          <w:color w:val="000000"/>
        </w:rPr>
      </w:pPr>
      <w:r>
        <w:rPr>
          <w:rFonts w:hint="eastAsia" w:hAnsi="宋体" w:cs="宋体"/>
          <w:color w:val="000000"/>
        </w:rPr>
        <w:t>1.甲方无正当理由拒收货物的，甲方向乙方偿付拒收货款总值的百分之五违约金。</w:t>
      </w:r>
    </w:p>
    <w:p w14:paraId="5ED8927E">
      <w:pPr>
        <w:pStyle w:val="7"/>
        <w:snapToGrid w:val="0"/>
        <w:spacing w:line="300" w:lineRule="auto"/>
        <w:ind w:firstLine="420" w:firstLineChars="200"/>
        <w:rPr>
          <w:rFonts w:hAnsi="宋体" w:cs="宋体"/>
          <w:color w:val="000000"/>
        </w:rPr>
      </w:pPr>
      <w:r>
        <w:rPr>
          <w:rFonts w:hint="eastAsia" w:hAnsi="宋体" w:cs="宋体"/>
          <w:color w:val="000000"/>
        </w:rPr>
        <w:t>2.甲方无故逾期验收和办理货款支付手续的,甲方应按逾期付款总额每日万分之五向乙方支付违约金，但违约金总额不得超过合同总价的百分之五。</w:t>
      </w:r>
    </w:p>
    <w:p w14:paraId="7067DEB9">
      <w:pPr>
        <w:pStyle w:val="7"/>
        <w:snapToGrid w:val="0"/>
        <w:spacing w:line="300" w:lineRule="auto"/>
        <w:ind w:firstLine="420" w:firstLineChars="200"/>
        <w:rPr>
          <w:rFonts w:hAnsi="宋体" w:cs="宋体"/>
          <w:color w:val="000000"/>
        </w:rPr>
      </w:pPr>
      <w:r>
        <w:rPr>
          <w:rFonts w:hint="eastAsia" w:hAnsi="宋体" w:cs="宋体"/>
          <w:color w:val="000000"/>
        </w:rPr>
        <w:t>3.乙方逾期交付货物的，乙方应按逾期交货总额每日千分之五向甲方支付违约金，由甲方从待付货款中扣除。逾期超过约定日期10个工作日不能交货的，甲方可解除本合同。乙方因逾期交货或因其他违约行为导致甲方解除合同的，乙方应向甲方支付合同总额百分之二十的违约金，如造成甲方损失超过违约金的，超出部分由乙方继续承担赔偿责任。</w:t>
      </w:r>
    </w:p>
    <w:p w14:paraId="70FF4C4E">
      <w:pPr>
        <w:pStyle w:val="7"/>
        <w:snapToGrid w:val="0"/>
        <w:spacing w:line="300" w:lineRule="auto"/>
        <w:ind w:firstLine="420" w:firstLineChars="200"/>
        <w:rPr>
          <w:rFonts w:hAnsi="宋体" w:cs="宋体"/>
          <w:color w:val="000000"/>
        </w:rPr>
      </w:pPr>
      <w:r>
        <w:rPr>
          <w:rFonts w:hint="eastAsia" w:hAnsi="宋体" w:cs="宋体"/>
          <w:color w:val="000000"/>
        </w:rPr>
        <w:t>4.乙方所交的货物品种、型号、规格、技术参数、质量不符合合同规定及采购文件规定标准的，甲方有权拒收该货物，乙方愿意更换货物但逾期交货的，按乙方逾期交货处理。乙方拒绝更换货物的，甲方可单方面解除合同，且有权要求乙方承担合同总额百分之二十违约金。</w:t>
      </w:r>
    </w:p>
    <w:p w14:paraId="0538FD9C">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十四、不可抗力事件处理</w:t>
      </w:r>
    </w:p>
    <w:p w14:paraId="0F1F25DB">
      <w:pPr>
        <w:pStyle w:val="7"/>
        <w:snapToGrid w:val="0"/>
        <w:spacing w:line="300" w:lineRule="auto"/>
        <w:ind w:firstLine="420" w:firstLineChars="200"/>
        <w:rPr>
          <w:rFonts w:hAnsi="宋体" w:cs="宋体"/>
          <w:color w:val="000000"/>
        </w:rPr>
      </w:pPr>
      <w:r>
        <w:rPr>
          <w:rFonts w:hint="eastAsia" w:hAnsi="宋体" w:cs="宋体"/>
          <w:color w:val="000000"/>
        </w:rPr>
        <w:t>1.在合同有效期内，任何一方因不可抗力事件导致不能履行合同，则合同履行期可延长，其延长期与不可抗力影响期相同。</w:t>
      </w:r>
    </w:p>
    <w:p w14:paraId="6753A478">
      <w:pPr>
        <w:pStyle w:val="7"/>
        <w:snapToGrid w:val="0"/>
        <w:spacing w:line="300" w:lineRule="auto"/>
        <w:ind w:firstLine="420" w:firstLineChars="200"/>
        <w:rPr>
          <w:rFonts w:hAnsi="宋体" w:cs="宋体"/>
          <w:color w:val="000000"/>
        </w:rPr>
      </w:pPr>
      <w:r>
        <w:rPr>
          <w:rFonts w:hint="eastAsia" w:hAnsi="宋体" w:cs="宋体"/>
          <w:color w:val="000000"/>
        </w:rPr>
        <w:t>2.不可抗力事件发生后，应立即通知对方，并寄送有关权威机构出具的证明。</w:t>
      </w:r>
    </w:p>
    <w:p w14:paraId="43BD1D5A">
      <w:pPr>
        <w:pStyle w:val="7"/>
        <w:snapToGrid w:val="0"/>
        <w:spacing w:line="300" w:lineRule="auto"/>
        <w:ind w:firstLine="420" w:firstLineChars="200"/>
        <w:rPr>
          <w:rFonts w:hAnsi="宋体" w:cs="宋体"/>
          <w:color w:val="000000"/>
        </w:rPr>
      </w:pPr>
      <w:r>
        <w:rPr>
          <w:rFonts w:hint="eastAsia" w:hAnsi="宋体" w:cs="宋体"/>
          <w:color w:val="000000"/>
        </w:rPr>
        <w:t>3.不可抗力事件延续120天以上，双方应通过友好协商，确定是否继续履行合同。</w:t>
      </w:r>
    </w:p>
    <w:p w14:paraId="7D57A46A">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十五、诉讼</w:t>
      </w:r>
    </w:p>
    <w:p w14:paraId="0AF8367F">
      <w:pPr>
        <w:pStyle w:val="7"/>
        <w:snapToGrid w:val="0"/>
        <w:spacing w:line="300" w:lineRule="auto"/>
        <w:ind w:firstLine="420" w:firstLineChars="200"/>
        <w:rPr>
          <w:rFonts w:hAnsi="宋体" w:cs="宋体"/>
          <w:color w:val="000000"/>
        </w:rPr>
      </w:pPr>
      <w:r>
        <w:rPr>
          <w:rFonts w:hint="eastAsia" w:hAnsi="宋体" w:cs="宋体"/>
          <w:color w:val="000000"/>
        </w:rPr>
        <w:t>1.双方在执行合同中所发生的一切争议，应通过协商解决。如协商不成，双方同意向合同签订地法院起诉，合同签订地在此约定为南京市高淳区。</w:t>
      </w:r>
    </w:p>
    <w:p w14:paraId="22F2F345">
      <w:pPr>
        <w:pStyle w:val="7"/>
        <w:snapToGrid w:val="0"/>
        <w:spacing w:line="300" w:lineRule="auto"/>
        <w:ind w:firstLine="480" w:firstLineChars="200"/>
        <w:rPr>
          <w:rFonts w:hAnsi="宋体" w:cs="宋体"/>
          <w:b/>
          <w:color w:val="000000"/>
          <w:sz w:val="24"/>
          <w:szCs w:val="24"/>
        </w:rPr>
      </w:pPr>
      <w:r>
        <w:rPr>
          <w:rFonts w:hint="eastAsia" w:hAnsi="宋体" w:cs="宋体"/>
          <w:b/>
          <w:color w:val="000000"/>
          <w:sz w:val="24"/>
          <w:szCs w:val="24"/>
        </w:rPr>
        <w:t>十六、合同生效及其它</w:t>
      </w:r>
    </w:p>
    <w:p w14:paraId="07B09162">
      <w:pPr>
        <w:pStyle w:val="7"/>
        <w:snapToGrid w:val="0"/>
        <w:spacing w:line="300" w:lineRule="auto"/>
        <w:ind w:firstLine="420" w:firstLineChars="200"/>
        <w:rPr>
          <w:rFonts w:hAnsi="宋体" w:cs="宋体"/>
          <w:color w:val="000000"/>
        </w:rPr>
      </w:pPr>
      <w:r>
        <w:rPr>
          <w:rFonts w:hint="eastAsia" w:hAnsi="宋体" w:cs="宋体"/>
          <w:color w:val="000000"/>
        </w:rPr>
        <w:t>1.合同经双方法定代表人或授权代表签字并加盖单位公章或合同章后生效。</w:t>
      </w:r>
    </w:p>
    <w:p w14:paraId="38FFECBE">
      <w:pPr>
        <w:pStyle w:val="7"/>
        <w:snapToGrid w:val="0"/>
        <w:spacing w:line="300" w:lineRule="auto"/>
        <w:ind w:firstLine="420" w:firstLineChars="200"/>
        <w:rPr>
          <w:rFonts w:hAnsi="宋体" w:cs="宋体"/>
          <w:color w:val="000000"/>
        </w:rPr>
      </w:pPr>
      <w:r>
        <w:rPr>
          <w:rFonts w:hint="eastAsia" w:hAnsi="宋体" w:cs="宋体"/>
          <w:color w:val="000000"/>
        </w:rPr>
        <w:t>2.本合同未尽事宜，遵照《中华人民共和国民法典》有关条文执行。</w:t>
      </w:r>
    </w:p>
    <w:p w14:paraId="7C02712C">
      <w:pPr>
        <w:pStyle w:val="7"/>
        <w:snapToGrid w:val="0"/>
        <w:spacing w:line="300" w:lineRule="auto"/>
        <w:ind w:firstLine="420" w:firstLineChars="200"/>
        <w:rPr>
          <w:rFonts w:hAnsi="宋体" w:cs="宋体"/>
          <w:color w:val="000000"/>
        </w:rPr>
      </w:pPr>
      <w:r>
        <w:rPr>
          <w:rFonts w:hint="eastAsia" w:hAnsi="宋体" w:cs="宋体"/>
          <w:color w:val="000000"/>
        </w:rPr>
        <w:t>3.本合同正本一式伍份，甲方肆份、乙方壹份，具有同等法律效力。</w:t>
      </w:r>
    </w:p>
    <w:p w14:paraId="7E3455E4">
      <w:pPr>
        <w:pStyle w:val="7"/>
        <w:snapToGrid w:val="0"/>
        <w:spacing w:line="300" w:lineRule="auto"/>
        <w:ind w:left="480" w:firstLine="420" w:firstLineChars="200"/>
        <w:rPr>
          <w:rFonts w:hAnsi="宋体" w:cs="宋体"/>
          <w:color w:val="000000"/>
        </w:rPr>
      </w:pPr>
    </w:p>
    <w:p w14:paraId="7CF444C1">
      <w:pPr>
        <w:pStyle w:val="7"/>
        <w:snapToGrid w:val="0"/>
        <w:spacing w:line="300" w:lineRule="auto"/>
        <w:ind w:firstLine="420" w:firstLineChars="200"/>
        <w:rPr>
          <w:rFonts w:hAnsi="宋体" w:cs="宋体"/>
          <w:color w:val="000000"/>
        </w:rPr>
      </w:pPr>
    </w:p>
    <w:p w14:paraId="7C0BCD42">
      <w:pPr>
        <w:pStyle w:val="7"/>
        <w:snapToGrid w:val="0"/>
        <w:spacing w:line="300" w:lineRule="auto"/>
        <w:ind w:firstLine="420" w:firstLineChars="200"/>
        <w:rPr>
          <w:rFonts w:hAnsi="宋体" w:cs="宋体"/>
          <w:color w:val="000000"/>
        </w:rPr>
      </w:pPr>
    </w:p>
    <w:p w14:paraId="121E0118">
      <w:pPr>
        <w:pStyle w:val="7"/>
        <w:snapToGrid w:val="0"/>
        <w:spacing w:line="300" w:lineRule="auto"/>
        <w:ind w:firstLine="420" w:firstLineChars="200"/>
        <w:rPr>
          <w:rFonts w:hAnsi="宋体" w:cs="宋体"/>
          <w:color w:val="000000"/>
        </w:rPr>
      </w:pPr>
    </w:p>
    <w:p w14:paraId="734FA98F">
      <w:pPr>
        <w:pStyle w:val="7"/>
        <w:snapToGrid w:val="0"/>
        <w:spacing w:line="300" w:lineRule="auto"/>
        <w:ind w:firstLine="420" w:firstLineChars="200"/>
        <w:rPr>
          <w:rFonts w:hAnsi="宋体" w:cs="宋体"/>
          <w:color w:val="000000"/>
        </w:rPr>
      </w:pPr>
      <w:r>
        <w:rPr>
          <w:rFonts w:hint="eastAsia" w:hAnsi="宋体" w:cs="宋体"/>
          <w:color w:val="000000"/>
        </w:rPr>
        <w:t>甲方：南京财经大学红山学院</w:t>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 xml:space="preserve"> 乙方： </w:t>
      </w:r>
    </w:p>
    <w:p w14:paraId="4DD6E4E0">
      <w:pPr>
        <w:pStyle w:val="7"/>
        <w:snapToGrid w:val="0"/>
        <w:spacing w:line="300" w:lineRule="auto"/>
        <w:ind w:firstLine="420" w:firstLineChars="200"/>
        <w:rPr>
          <w:rFonts w:hAnsi="宋体" w:cs="宋体"/>
          <w:color w:val="000000"/>
        </w:rPr>
      </w:pPr>
      <w:r>
        <w:rPr>
          <w:rFonts w:hint="eastAsia" w:hAnsi="宋体" w:cs="宋体"/>
          <w:color w:val="000000"/>
        </w:rPr>
        <w:t xml:space="preserve">地址：南京市高淳区鹿鸣大道66号    </w:t>
      </w:r>
      <w:r>
        <w:rPr>
          <w:rFonts w:hint="eastAsia" w:hAnsi="宋体" w:cs="宋体"/>
          <w:color w:val="000000"/>
        </w:rPr>
        <w:tab/>
      </w:r>
      <w:r>
        <w:rPr>
          <w:rFonts w:hint="eastAsia" w:hAnsi="宋体" w:cs="宋体"/>
          <w:color w:val="000000"/>
        </w:rPr>
        <w:tab/>
      </w:r>
      <w:r>
        <w:rPr>
          <w:rFonts w:hint="eastAsia" w:hAnsi="宋体" w:cs="宋体"/>
          <w:color w:val="000000"/>
        </w:rPr>
        <w:t xml:space="preserve">     地址：</w:t>
      </w:r>
    </w:p>
    <w:p w14:paraId="368F3242">
      <w:pPr>
        <w:pStyle w:val="7"/>
        <w:snapToGrid w:val="0"/>
        <w:spacing w:line="300" w:lineRule="auto"/>
        <w:ind w:firstLine="420" w:firstLineChars="200"/>
        <w:rPr>
          <w:rFonts w:hAnsi="宋体" w:cs="宋体"/>
          <w:color w:val="000000"/>
        </w:rPr>
      </w:pPr>
      <w:r>
        <w:rPr>
          <w:rFonts w:hint="eastAsia" w:hAnsi="宋体" w:cs="宋体"/>
          <w:color w:val="000000"/>
        </w:rPr>
        <w:t>法定代表人或授权代表：</w:t>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 xml:space="preserve">         法定代表人或授权代表：</w:t>
      </w:r>
    </w:p>
    <w:p w14:paraId="40BF68A3">
      <w:pPr>
        <w:pStyle w:val="7"/>
        <w:snapToGrid w:val="0"/>
        <w:spacing w:line="300" w:lineRule="auto"/>
        <w:ind w:firstLine="420" w:firstLineChars="200"/>
        <w:rPr>
          <w:rFonts w:hAnsi="宋体" w:cs="宋体"/>
          <w:color w:val="000000"/>
        </w:rPr>
      </w:pPr>
      <w:r>
        <w:rPr>
          <w:rFonts w:hint="eastAsia" w:hAnsi="宋体" w:cs="宋体"/>
          <w:color w:val="000000"/>
        </w:rPr>
        <w:t>联系电话：</w:t>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 xml:space="preserve">     联系电话：</w:t>
      </w:r>
    </w:p>
    <w:p w14:paraId="35678034">
      <w:pPr>
        <w:spacing w:line="300" w:lineRule="auto"/>
        <w:ind w:firstLine="420" w:firstLineChars="200"/>
        <w:rPr>
          <w:rFonts w:ascii="宋体" w:hAnsi="宋体" w:cs="宋体"/>
          <w:color w:val="000000"/>
          <w:szCs w:val="21"/>
        </w:rPr>
      </w:pPr>
      <w:r>
        <w:rPr>
          <w:rFonts w:hint="eastAsia" w:ascii="宋体" w:hAnsi="宋体" w:cs="宋体"/>
          <w:color w:val="000000"/>
          <w:szCs w:val="21"/>
        </w:rPr>
        <w:t>签订日期：  年  月  日                       签订日期：  年  月  日</w:t>
      </w:r>
    </w:p>
    <w:p w14:paraId="0761B14F">
      <w:pPr>
        <w:spacing w:line="300" w:lineRule="auto"/>
        <w:ind w:firstLine="420" w:firstLineChars="200"/>
        <w:rPr>
          <w:rFonts w:ascii="宋体" w:hAnsi="宋体" w:cs="宋体"/>
          <w:color w:val="000000"/>
          <w:szCs w:val="21"/>
        </w:rPr>
      </w:pPr>
    </w:p>
    <w:p w14:paraId="7BA3AEBF">
      <w:pPr>
        <w:adjustRightInd w:val="0"/>
        <w:snapToGrid w:val="0"/>
        <w:spacing w:line="300" w:lineRule="auto"/>
        <w:ind w:firstLine="420" w:firstLineChars="200"/>
        <w:rPr>
          <w:rFonts w:ascii="宋体" w:hAnsi="宋体" w:cs="宋体"/>
          <w:b/>
          <w:bCs/>
          <w:szCs w:val="21"/>
        </w:rPr>
      </w:pPr>
      <w:r>
        <w:rPr>
          <w:rFonts w:hint="eastAsia" w:ascii="宋体" w:hAnsi="宋体" w:cs="宋体"/>
          <w:szCs w:val="21"/>
        </w:rPr>
        <w:t xml:space="preserve">　 </w:t>
      </w:r>
    </w:p>
    <w:p w14:paraId="05F5FA8F">
      <w:pPr>
        <w:adjustRightInd w:val="0"/>
        <w:snapToGrid w:val="0"/>
        <w:spacing w:line="300" w:lineRule="auto"/>
        <w:ind w:firstLine="420" w:firstLineChars="200"/>
        <w:rPr>
          <w:rFonts w:ascii="宋体" w:hAnsi="宋体" w:cs="宋体"/>
          <w:szCs w:val="21"/>
        </w:rPr>
      </w:pPr>
    </w:p>
    <w:p w14:paraId="3B3D1DA5">
      <w:pPr>
        <w:adjustRightInd w:val="0"/>
        <w:snapToGrid w:val="0"/>
        <w:spacing w:line="300" w:lineRule="auto"/>
        <w:ind w:firstLine="420" w:firstLineChars="200"/>
        <w:rPr>
          <w:rFonts w:ascii="宋体" w:hAnsi="宋体" w:cs="宋体"/>
          <w:szCs w:val="21"/>
        </w:rPr>
      </w:pPr>
    </w:p>
    <w:p w14:paraId="004933E6">
      <w:pPr>
        <w:adjustRightInd w:val="0"/>
        <w:snapToGrid w:val="0"/>
        <w:spacing w:line="300" w:lineRule="auto"/>
        <w:ind w:firstLine="420" w:firstLineChars="200"/>
        <w:rPr>
          <w:rFonts w:ascii="宋体" w:hAnsi="宋体" w:cs="宋体"/>
          <w:szCs w:val="21"/>
        </w:rPr>
      </w:pPr>
      <w:r>
        <w:rPr>
          <w:rFonts w:hint="eastAsia" w:ascii="宋体" w:hAnsi="宋体" w:cs="宋体"/>
          <w:szCs w:val="21"/>
        </w:rPr>
        <w:t>附注：</w:t>
      </w:r>
    </w:p>
    <w:p w14:paraId="6EFA6136">
      <w:pPr>
        <w:adjustRightInd w:val="0"/>
        <w:snapToGrid w:val="0"/>
        <w:spacing w:line="300" w:lineRule="auto"/>
        <w:ind w:firstLine="420" w:firstLineChars="200"/>
        <w:rPr>
          <w:rFonts w:ascii="宋体" w:hAnsi="宋体" w:cs="宋体"/>
          <w:szCs w:val="21"/>
        </w:rPr>
      </w:pPr>
      <w:r>
        <w:rPr>
          <w:rFonts w:hint="eastAsia" w:ascii="宋体" w:hAnsi="宋体" w:cs="宋体"/>
          <w:szCs w:val="21"/>
        </w:rPr>
        <w:t>1.本合同依法签订，即具有法律效力。双方必须全面履行，任何一方都不得擅自变更或解除；因故需要解除时，应经双方协商一致，依法另立协议。</w:t>
      </w:r>
    </w:p>
    <w:p w14:paraId="3E684861">
      <w:pPr>
        <w:spacing w:line="300" w:lineRule="auto"/>
        <w:rPr>
          <w:rFonts w:ascii="宋体" w:hAnsi="宋体" w:cs="宋体"/>
          <w:szCs w:val="21"/>
        </w:rPr>
        <w:sectPr>
          <w:footerReference r:id="rId5" w:type="default"/>
          <w:pgSz w:w="11906" w:h="16838"/>
          <w:pgMar w:top="1440" w:right="1797" w:bottom="1440" w:left="1797" w:header="851" w:footer="992" w:gutter="0"/>
          <w:cols w:space="720" w:num="1"/>
          <w:docGrid w:type="linesAndChars" w:linePitch="312" w:charSpace="0"/>
        </w:sectPr>
      </w:pPr>
    </w:p>
    <w:p w14:paraId="5A3A384D">
      <w:pPr>
        <w:adjustRightInd w:val="0"/>
        <w:snapToGrid w:val="0"/>
        <w:spacing w:before="62" w:beforeLines="20" w:after="62" w:afterLines="20" w:line="560" w:lineRule="exact"/>
        <w:jc w:val="left"/>
        <w:rPr>
          <w:rFonts w:ascii="宋体" w:hAnsi="宋体" w:cs="宋体"/>
          <w:bCs/>
          <w:sz w:val="24"/>
          <w:szCs w:val="21"/>
        </w:rPr>
      </w:pPr>
      <w:r>
        <w:rPr>
          <w:rFonts w:hint="eastAsia" w:ascii="宋体" w:hAnsi="宋体" w:cs="宋体"/>
          <w:bCs/>
          <w:sz w:val="24"/>
          <w:szCs w:val="21"/>
        </w:rPr>
        <w:t>附件七：</w:t>
      </w:r>
    </w:p>
    <w:p w14:paraId="50B7B0D1">
      <w:pPr>
        <w:adjustRightInd w:val="0"/>
        <w:snapToGrid w:val="0"/>
        <w:spacing w:before="62" w:beforeLines="20" w:after="62" w:afterLines="20" w:line="560" w:lineRule="exact"/>
        <w:jc w:val="center"/>
        <w:rPr>
          <w:rFonts w:ascii="宋体" w:hAnsi="宋体" w:cs="宋体"/>
          <w:b/>
          <w:sz w:val="32"/>
        </w:rPr>
      </w:pPr>
      <w:r>
        <w:rPr>
          <w:rFonts w:hint="eastAsia" w:ascii="宋体" w:hAnsi="宋体" w:cs="宋体"/>
          <w:b/>
          <w:sz w:val="32"/>
        </w:rPr>
        <w:t>相关投标材料模板</w:t>
      </w:r>
    </w:p>
    <w:p w14:paraId="775201BE">
      <w:pPr>
        <w:pStyle w:val="18"/>
        <w:spacing w:beforeAutospacing="0" w:afterAutospacing="0" w:line="560" w:lineRule="exact"/>
        <w:ind w:right="275" w:rightChars="131"/>
        <w:jc w:val="center"/>
        <w:outlineLvl w:val="1"/>
        <w:rPr>
          <w:b/>
          <w:color w:val="auto"/>
          <w:kern w:val="2"/>
          <w:sz w:val="28"/>
          <w:szCs w:val="28"/>
        </w:rPr>
      </w:pPr>
      <w:r>
        <w:rPr>
          <w:rFonts w:hint="eastAsia"/>
          <w:b/>
          <w:color w:val="auto"/>
          <w:sz w:val="30"/>
          <w:szCs w:val="30"/>
        </w:rPr>
        <w:t>1.封面格式</w:t>
      </w:r>
    </w:p>
    <w:p w14:paraId="39B6DE43">
      <w:pPr>
        <w:spacing w:line="560" w:lineRule="exact"/>
        <w:ind w:left="-1" w:leftChars="-1" w:right="275" w:rightChars="131" w:hanging="1"/>
        <w:jc w:val="center"/>
        <w:outlineLvl w:val="0"/>
        <w:rPr>
          <w:rFonts w:ascii="宋体" w:hAnsi="宋体"/>
          <w:b/>
          <w:bCs/>
          <w:sz w:val="32"/>
          <w:szCs w:val="32"/>
        </w:rPr>
      </w:pPr>
    </w:p>
    <w:p w14:paraId="79188A5B">
      <w:pPr>
        <w:pStyle w:val="12"/>
        <w:spacing w:line="560" w:lineRule="exact"/>
      </w:pPr>
    </w:p>
    <w:p w14:paraId="28736003">
      <w:pPr>
        <w:tabs>
          <w:tab w:val="left" w:pos="406"/>
        </w:tabs>
        <w:adjustRightInd w:val="0"/>
        <w:snapToGrid w:val="0"/>
        <w:spacing w:line="300" w:lineRule="auto"/>
        <w:jc w:val="center"/>
        <w:rPr>
          <w:rFonts w:ascii="宋体" w:hAnsi="宋体"/>
          <w:b/>
          <w:sz w:val="52"/>
          <w:szCs w:val="52"/>
          <w:u w:val="single"/>
        </w:rPr>
      </w:pPr>
      <w:r>
        <w:rPr>
          <w:rFonts w:hint="eastAsia" w:ascii="宋体" w:hAnsi="宋体" w:cs="宋体"/>
          <w:b/>
          <w:bCs/>
          <w:sz w:val="52"/>
          <w:szCs w:val="52"/>
          <w:u w:val="single"/>
        </w:rPr>
        <w:t>南京财经大学红山学院计算机课程考试系统软件采购项目</w:t>
      </w:r>
    </w:p>
    <w:p w14:paraId="23476320">
      <w:pPr>
        <w:pStyle w:val="4"/>
        <w:adjustRightInd w:val="0"/>
        <w:snapToGrid w:val="0"/>
        <w:spacing w:before="62" w:beforeLines="20" w:after="62" w:afterLines="20" w:line="560" w:lineRule="exact"/>
        <w:ind w:left="-1" w:leftChars="-1" w:hanging="1"/>
        <w:rPr>
          <w:rFonts w:ascii="宋体" w:hAnsi="宋体"/>
          <w:b/>
          <w:sz w:val="24"/>
        </w:rPr>
      </w:pPr>
    </w:p>
    <w:p w14:paraId="101B53C3">
      <w:pPr>
        <w:pStyle w:val="4"/>
        <w:adjustRightInd w:val="0"/>
        <w:snapToGrid w:val="0"/>
        <w:spacing w:before="62" w:beforeLines="20" w:after="62" w:afterLines="20" w:line="560" w:lineRule="exact"/>
        <w:ind w:left="-1" w:leftChars="-1" w:hanging="1"/>
        <w:rPr>
          <w:rFonts w:ascii="宋体" w:hAnsi="宋体"/>
          <w:b/>
          <w:sz w:val="24"/>
        </w:rPr>
      </w:pPr>
    </w:p>
    <w:p w14:paraId="4F0A98A3">
      <w:pPr>
        <w:pStyle w:val="2"/>
        <w:adjustRightInd w:val="0"/>
        <w:snapToGrid w:val="0"/>
        <w:spacing w:before="62" w:beforeLines="20" w:after="62" w:afterLines="20" w:line="560" w:lineRule="exact"/>
        <w:ind w:left="-1" w:leftChars="-1" w:hanging="1"/>
        <w:jc w:val="center"/>
        <w:rPr>
          <w:rFonts w:ascii="宋体" w:hAnsi="宋体"/>
          <w:sz w:val="52"/>
          <w:szCs w:val="52"/>
        </w:rPr>
      </w:pPr>
      <w:r>
        <w:rPr>
          <w:rFonts w:hint="eastAsia" w:ascii="宋体" w:hAnsi="宋体"/>
          <w:sz w:val="52"/>
          <w:szCs w:val="52"/>
        </w:rPr>
        <w:t>投  标  文  件</w:t>
      </w:r>
    </w:p>
    <w:p w14:paraId="7737727C">
      <w:pPr>
        <w:pStyle w:val="2"/>
        <w:adjustRightInd w:val="0"/>
        <w:snapToGrid w:val="0"/>
        <w:spacing w:before="62" w:beforeLines="20" w:after="62" w:afterLines="20" w:line="560" w:lineRule="exact"/>
        <w:ind w:left="-1" w:leftChars="-1" w:hanging="1"/>
        <w:rPr>
          <w:rFonts w:ascii="宋体" w:hAnsi="宋体"/>
          <w:b/>
          <w:bCs/>
          <w:sz w:val="28"/>
          <w:szCs w:val="28"/>
        </w:rPr>
      </w:pPr>
    </w:p>
    <w:p w14:paraId="7A077587">
      <w:pPr>
        <w:pStyle w:val="2"/>
        <w:adjustRightInd w:val="0"/>
        <w:snapToGrid w:val="0"/>
        <w:spacing w:before="62" w:beforeLines="20" w:after="62" w:afterLines="20" w:line="560" w:lineRule="exact"/>
        <w:ind w:left="-1" w:leftChars="-1" w:hanging="1"/>
        <w:rPr>
          <w:rFonts w:ascii="宋体" w:hAnsi="宋体"/>
          <w:b/>
          <w:bCs/>
          <w:sz w:val="28"/>
          <w:szCs w:val="28"/>
        </w:rPr>
      </w:pPr>
      <w:r>
        <w:rPr>
          <w:rFonts w:hint="eastAsia" w:ascii="宋体" w:hAnsi="宋体"/>
          <w:b/>
          <w:bCs/>
          <w:sz w:val="28"/>
          <w:szCs w:val="28"/>
        </w:rPr>
        <w:t>招标编号：</w:t>
      </w:r>
    </w:p>
    <w:p w14:paraId="0304017D">
      <w:pPr>
        <w:pStyle w:val="2"/>
        <w:adjustRightInd w:val="0"/>
        <w:snapToGrid w:val="0"/>
        <w:spacing w:before="62" w:beforeLines="20" w:after="62" w:afterLines="20" w:line="560" w:lineRule="exact"/>
        <w:ind w:left="-1" w:leftChars="-1" w:hanging="1"/>
        <w:jc w:val="center"/>
        <w:rPr>
          <w:rFonts w:ascii="宋体" w:hAnsi="宋体"/>
          <w:sz w:val="24"/>
        </w:rPr>
      </w:pPr>
    </w:p>
    <w:p w14:paraId="5EF2C324">
      <w:pPr>
        <w:pStyle w:val="2"/>
        <w:adjustRightInd w:val="0"/>
        <w:snapToGrid w:val="0"/>
        <w:spacing w:before="62" w:beforeLines="20" w:after="62" w:afterLines="20" w:line="560" w:lineRule="exact"/>
        <w:ind w:left="-1" w:leftChars="-1" w:hanging="1"/>
        <w:jc w:val="center"/>
        <w:rPr>
          <w:rFonts w:ascii="宋体" w:hAnsi="宋体"/>
          <w:sz w:val="24"/>
        </w:rPr>
      </w:pPr>
    </w:p>
    <w:p w14:paraId="2CE1EEBB">
      <w:pPr>
        <w:pStyle w:val="2"/>
        <w:adjustRightInd w:val="0"/>
        <w:snapToGrid w:val="0"/>
        <w:spacing w:before="62" w:beforeLines="20" w:after="62" w:afterLines="20" w:line="560" w:lineRule="exact"/>
        <w:ind w:left="-1" w:leftChars="-1" w:hanging="1"/>
        <w:jc w:val="center"/>
        <w:rPr>
          <w:rFonts w:ascii="宋体" w:hAnsi="宋体"/>
          <w:sz w:val="24"/>
        </w:rPr>
      </w:pPr>
    </w:p>
    <w:p w14:paraId="65F7633D">
      <w:pPr>
        <w:pStyle w:val="6"/>
        <w:adjustRightInd w:val="0"/>
        <w:snapToGrid w:val="0"/>
        <w:spacing w:before="62" w:beforeLines="20" w:after="62" w:afterLines="20" w:line="560" w:lineRule="exact"/>
        <w:ind w:left="0" w:leftChars="0" w:firstLine="0" w:firstLineChars="0"/>
        <w:rPr>
          <w:rFonts w:ascii="宋体" w:hAnsi="宋体"/>
          <w:b/>
          <w:bCs/>
          <w:sz w:val="28"/>
          <w:szCs w:val="28"/>
          <w:u w:val="single"/>
        </w:rPr>
      </w:pPr>
      <w:r>
        <w:rPr>
          <w:rFonts w:hint="eastAsia" w:ascii="宋体" w:hAnsi="宋体"/>
          <w:b/>
          <w:bCs/>
          <w:sz w:val="28"/>
          <w:szCs w:val="28"/>
        </w:rPr>
        <w:t>项目名称：</w:t>
      </w:r>
      <w:r>
        <w:rPr>
          <w:rFonts w:hint="eastAsia" w:ascii="宋体" w:hAnsi="宋体"/>
          <w:b/>
          <w:bCs/>
          <w:sz w:val="28"/>
          <w:szCs w:val="28"/>
          <w:u w:val="single"/>
        </w:rPr>
        <w:t xml:space="preserve">                                              </w:t>
      </w:r>
    </w:p>
    <w:p w14:paraId="7C424028">
      <w:pPr>
        <w:pStyle w:val="6"/>
        <w:adjustRightInd w:val="0"/>
        <w:snapToGrid w:val="0"/>
        <w:spacing w:before="62" w:beforeLines="20" w:after="62" w:afterLines="20" w:line="560" w:lineRule="exact"/>
        <w:ind w:left="-1" w:leftChars="-1" w:hanging="1" w:firstLineChars="0"/>
        <w:rPr>
          <w:rFonts w:ascii="宋体" w:hAnsi="宋体"/>
          <w:b/>
          <w:bCs/>
          <w:sz w:val="28"/>
          <w:szCs w:val="28"/>
        </w:rPr>
      </w:pPr>
      <w:r>
        <w:rPr>
          <w:rFonts w:hint="eastAsia" w:ascii="宋体" w:hAnsi="宋体"/>
          <w:b/>
          <w:bCs/>
          <w:sz w:val="28"/>
          <w:szCs w:val="28"/>
        </w:rPr>
        <w:t>投标文件内容：</w:t>
      </w:r>
      <w:r>
        <w:rPr>
          <w:rFonts w:hint="eastAsia" w:ascii="宋体" w:hAnsi="宋体"/>
          <w:b/>
          <w:bCs/>
          <w:sz w:val="28"/>
          <w:szCs w:val="28"/>
          <w:u w:val="single"/>
        </w:rPr>
        <w:t xml:space="preserve">    </w:t>
      </w:r>
      <w:r>
        <w:rPr>
          <w:rFonts w:hint="eastAsia" w:ascii="宋体" w:hAnsi="宋体"/>
          <w:b/>
          <w:bCs/>
          <w:sz w:val="28"/>
          <w:szCs w:val="28"/>
          <w:u w:val="single"/>
        </w:rPr>
        <w:tab/>
      </w:r>
      <w:r>
        <w:rPr>
          <w:rFonts w:hint="eastAsia" w:ascii="宋体" w:hAnsi="宋体"/>
          <w:b/>
          <w:bCs/>
          <w:sz w:val="28"/>
          <w:szCs w:val="28"/>
          <w:u w:val="single"/>
        </w:rPr>
        <w:t xml:space="preserve">                  </w:t>
      </w:r>
      <w:r>
        <w:rPr>
          <w:rFonts w:hint="eastAsia" w:ascii="宋体" w:hAnsi="宋体"/>
          <w:b/>
          <w:bCs/>
          <w:sz w:val="28"/>
          <w:szCs w:val="28"/>
          <w:u w:val="single"/>
        </w:rPr>
        <w:tab/>
      </w:r>
      <w:r>
        <w:rPr>
          <w:rFonts w:hint="eastAsia" w:ascii="宋体" w:hAnsi="宋体"/>
          <w:b/>
          <w:bCs/>
          <w:sz w:val="28"/>
          <w:szCs w:val="28"/>
          <w:u w:val="single"/>
        </w:rPr>
        <w:tab/>
      </w:r>
      <w:r>
        <w:rPr>
          <w:rFonts w:hint="eastAsia" w:ascii="宋体" w:hAnsi="宋体"/>
          <w:b/>
          <w:bCs/>
          <w:sz w:val="28"/>
          <w:szCs w:val="28"/>
          <w:u w:val="single"/>
        </w:rPr>
        <w:t xml:space="preserve">           </w:t>
      </w:r>
    </w:p>
    <w:p w14:paraId="6470C081">
      <w:pPr>
        <w:pStyle w:val="6"/>
        <w:adjustRightInd w:val="0"/>
        <w:snapToGrid w:val="0"/>
        <w:spacing w:before="62" w:beforeLines="20" w:after="62" w:afterLines="20" w:line="560" w:lineRule="exact"/>
        <w:ind w:left="-1" w:leftChars="-1" w:hanging="1" w:firstLineChars="0"/>
        <w:rPr>
          <w:rFonts w:ascii="宋体" w:hAnsi="宋体"/>
          <w:b/>
          <w:bCs/>
          <w:sz w:val="28"/>
          <w:szCs w:val="28"/>
          <w:u w:val="single"/>
        </w:rPr>
      </w:pPr>
      <w:r>
        <w:rPr>
          <w:rFonts w:hint="eastAsia" w:ascii="宋体" w:hAnsi="宋体"/>
          <w:b/>
          <w:bCs/>
          <w:sz w:val="28"/>
          <w:szCs w:val="28"/>
        </w:rPr>
        <w:t>投 标 人：</w:t>
      </w:r>
      <w:r>
        <w:rPr>
          <w:rFonts w:hint="eastAsia" w:ascii="宋体" w:hAnsi="宋体"/>
          <w:b/>
          <w:bCs/>
          <w:sz w:val="28"/>
          <w:szCs w:val="28"/>
          <w:u w:val="single"/>
        </w:rPr>
        <w:t xml:space="preserve">                （盖公章）                    </w:t>
      </w:r>
    </w:p>
    <w:p w14:paraId="3D38B7BE">
      <w:pPr>
        <w:pStyle w:val="6"/>
        <w:adjustRightInd w:val="0"/>
        <w:snapToGrid w:val="0"/>
        <w:spacing w:before="62" w:beforeLines="20" w:after="62" w:afterLines="20" w:line="560" w:lineRule="exact"/>
        <w:ind w:left="-1" w:leftChars="-1" w:hanging="1" w:firstLineChars="0"/>
        <w:rPr>
          <w:rFonts w:ascii="宋体" w:hAnsi="宋体"/>
          <w:b/>
          <w:bCs/>
          <w:sz w:val="28"/>
          <w:szCs w:val="28"/>
          <w:u w:val="single"/>
        </w:rPr>
      </w:pPr>
      <w:r>
        <w:rPr>
          <w:rFonts w:hint="eastAsia" w:ascii="宋体" w:hAnsi="宋体"/>
          <w:b/>
          <w:bCs/>
          <w:sz w:val="28"/>
          <w:szCs w:val="28"/>
        </w:rPr>
        <w:t>法定代表人或其委托代理人：</w:t>
      </w:r>
      <w:r>
        <w:rPr>
          <w:rFonts w:hint="eastAsia" w:ascii="宋体" w:hAnsi="宋体"/>
          <w:b/>
          <w:bCs/>
          <w:sz w:val="28"/>
          <w:szCs w:val="28"/>
          <w:u w:val="single"/>
        </w:rPr>
        <w:t xml:space="preserve">      （签字、盖章）          </w:t>
      </w:r>
    </w:p>
    <w:p w14:paraId="5A5DB139">
      <w:pPr>
        <w:adjustRightInd w:val="0"/>
        <w:snapToGrid w:val="0"/>
        <w:spacing w:before="62" w:beforeLines="20" w:after="62" w:afterLines="20" w:line="560" w:lineRule="exact"/>
        <w:ind w:left="-1" w:leftChars="-1" w:hanging="1"/>
        <w:rPr>
          <w:rFonts w:ascii="宋体" w:hAnsi="宋体"/>
          <w:b/>
          <w:sz w:val="28"/>
          <w:szCs w:val="28"/>
        </w:rPr>
      </w:pPr>
      <w:r>
        <w:rPr>
          <w:rFonts w:hint="eastAsia" w:ascii="宋体" w:hAnsi="宋体"/>
          <w:b/>
          <w:sz w:val="28"/>
          <w:szCs w:val="28"/>
        </w:rPr>
        <w:t>联系方式：</w:t>
      </w:r>
      <w:r>
        <w:rPr>
          <w:rFonts w:hint="eastAsia" w:ascii="宋体" w:hAnsi="宋体"/>
          <w:b/>
          <w:bCs/>
          <w:sz w:val="28"/>
          <w:szCs w:val="28"/>
          <w:u w:val="single"/>
        </w:rPr>
        <w:t xml:space="preserve">                                              </w:t>
      </w:r>
    </w:p>
    <w:p w14:paraId="1E7F7CEB">
      <w:pPr>
        <w:adjustRightInd w:val="0"/>
        <w:snapToGrid w:val="0"/>
        <w:spacing w:before="62" w:beforeLines="20" w:after="62" w:afterLines="20" w:line="560" w:lineRule="exact"/>
        <w:ind w:left="-1" w:leftChars="-1" w:hanging="1"/>
        <w:rPr>
          <w:rFonts w:ascii="宋体" w:hAnsi="宋体"/>
          <w:b/>
          <w:sz w:val="28"/>
          <w:szCs w:val="28"/>
        </w:rPr>
      </w:pPr>
      <w:r>
        <w:rPr>
          <w:rFonts w:hint="eastAsia" w:ascii="宋体" w:hAnsi="宋体"/>
          <w:b/>
          <w:sz w:val="28"/>
          <w:szCs w:val="28"/>
        </w:rPr>
        <w:t>日  期：</w:t>
      </w:r>
      <w:r>
        <w:rPr>
          <w:rFonts w:hint="eastAsia" w:ascii="宋体" w:hAnsi="宋体"/>
          <w:b/>
          <w:sz w:val="28"/>
          <w:szCs w:val="28"/>
          <w:u w:val="single"/>
        </w:rPr>
        <w:t xml:space="preserve">      </w:t>
      </w:r>
      <w:r>
        <w:rPr>
          <w:rFonts w:hint="eastAsia" w:ascii="宋体" w:hAnsi="宋体"/>
          <w:b/>
          <w:sz w:val="28"/>
          <w:szCs w:val="28"/>
        </w:rPr>
        <w:t xml:space="preserve"> 年</w:t>
      </w:r>
      <w:r>
        <w:rPr>
          <w:rFonts w:hint="eastAsia" w:ascii="宋体" w:hAnsi="宋体"/>
          <w:b/>
          <w:sz w:val="28"/>
          <w:szCs w:val="28"/>
          <w:u w:val="single"/>
        </w:rPr>
        <w:t xml:space="preserve">     </w:t>
      </w:r>
      <w:r>
        <w:rPr>
          <w:rFonts w:hint="eastAsia" w:ascii="宋体" w:hAnsi="宋体"/>
          <w:b/>
          <w:sz w:val="28"/>
          <w:szCs w:val="28"/>
        </w:rPr>
        <w:t xml:space="preserve"> 月</w:t>
      </w:r>
      <w:r>
        <w:rPr>
          <w:rFonts w:hint="eastAsia" w:ascii="宋体" w:hAnsi="宋体"/>
          <w:b/>
          <w:sz w:val="28"/>
          <w:szCs w:val="28"/>
          <w:u w:val="single"/>
        </w:rPr>
        <w:t xml:space="preserve">     </w:t>
      </w:r>
      <w:r>
        <w:rPr>
          <w:rFonts w:hint="eastAsia" w:ascii="宋体" w:hAnsi="宋体"/>
          <w:b/>
          <w:sz w:val="28"/>
          <w:szCs w:val="28"/>
        </w:rPr>
        <w:t>日</w:t>
      </w:r>
    </w:p>
    <w:p w14:paraId="68979AA3">
      <w:pPr>
        <w:spacing w:line="560" w:lineRule="exact"/>
        <w:ind w:left="-1" w:leftChars="-1" w:right="275" w:rightChars="131" w:hanging="1"/>
        <w:jc w:val="center"/>
        <w:rPr>
          <w:rFonts w:ascii="宋体" w:hAnsi="宋体"/>
          <w:b/>
          <w:bCs/>
          <w:sz w:val="32"/>
          <w:szCs w:val="32"/>
        </w:rPr>
      </w:pPr>
      <w:r>
        <w:rPr>
          <w:rFonts w:hint="eastAsia" w:ascii="宋体" w:hAnsi="宋体"/>
          <w:b/>
          <w:sz w:val="28"/>
          <w:szCs w:val="28"/>
        </w:rPr>
        <w:br w:type="page"/>
      </w:r>
      <w:r>
        <w:rPr>
          <w:rFonts w:hint="eastAsia" w:ascii="宋体" w:hAnsi="宋体"/>
          <w:b/>
          <w:bCs/>
          <w:sz w:val="32"/>
          <w:szCs w:val="32"/>
        </w:rPr>
        <w:t>2.法定代表人身份证明书</w:t>
      </w:r>
    </w:p>
    <w:p w14:paraId="4D4D0E05">
      <w:pPr>
        <w:spacing w:line="560" w:lineRule="exact"/>
        <w:ind w:left="-1" w:leftChars="-1" w:right="275" w:rightChars="131" w:hanging="1"/>
        <w:jc w:val="center"/>
        <w:rPr>
          <w:rFonts w:ascii="宋体" w:hAnsi="宋体"/>
          <w:b/>
          <w:bCs/>
          <w:sz w:val="24"/>
        </w:rPr>
      </w:pPr>
    </w:p>
    <w:p w14:paraId="6977FBE7">
      <w:pPr>
        <w:spacing w:line="560" w:lineRule="exact"/>
        <w:ind w:left="-1" w:leftChars="-1" w:right="275" w:rightChars="131" w:hanging="1"/>
        <w:jc w:val="center"/>
        <w:rPr>
          <w:rFonts w:ascii="宋体" w:hAnsi="宋体"/>
          <w:b/>
          <w:bCs/>
          <w:sz w:val="24"/>
        </w:rPr>
      </w:pPr>
    </w:p>
    <w:p w14:paraId="79D7637C">
      <w:pPr>
        <w:spacing w:line="560" w:lineRule="exact"/>
        <w:ind w:left="-2" w:leftChars="-1" w:right="275" w:rightChars="131" w:firstLine="541"/>
        <w:rPr>
          <w:rFonts w:ascii="宋体" w:hAnsi="宋体"/>
          <w:sz w:val="24"/>
          <w:u w:val="thick"/>
        </w:rPr>
      </w:pPr>
      <w:r>
        <w:rPr>
          <w:rFonts w:hint="eastAsia" w:ascii="宋体" w:hAnsi="宋体"/>
          <w:sz w:val="24"/>
        </w:rPr>
        <w:t>单位名称：</w:t>
      </w:r>
      <w:r>
        <w:rPr>
          <w:rFonts w:hint="eastAsia" w:ascii="宋体" w:hAnsi="宋体"/>
          <w:sz w:val="24"/>
          <w:u w:val="thick"/>
        </w:rPr>
        <w:t xml:space="preserve">                                                       </w:t>
      </w:r>
    </w:p>
    <w:p w14:paraId="29709869">
      <w:pPr>
        <w:spacing w:line="560" w:lineRule="exact"/>
        <w:ind w:left="-2" w:leftChars="-1" w:right="275" w:rightChars="131" w:firstLine="541"/>
        <w:rPr>
          <w:rFonts w:ascii="宋体" w:hAnsi="宋体"/>
          <w:sz w:val="24"/>
          <w:u w:val="thick"/>
        </w:rPr>
      </w:pPr>
      <w:r>
        <w:rPr>
          <w:rFonts w:hint="eastAsia" w:ascii="宋体" w:hAnsi="宋体"/>
          <w:sz w:val="24"/>
        </w:rPr>
        <w:t>单位性质：</w:t>
      </w:r>
      <w:r>
        <w:rPr>
          <w:rFonts w:hint="eastAsia" w:ascii="宋体" w:hAnsi="宋体"/>
          <w:sz w:val="24"/>
          <w:u w:val="thick"/>
        </w:rPr>
        <w:t xml:space="preserve">                                                      </w:t>
      </w:r>
    </w:p>
    <w:p w14:paraId="445EBBD9">
      <w:pPr>
        <w:spacing w:line="560" w:lineRule="exact"/>
        <w:ind w:left="-2" w:leftChars="-1" w:right="275" w:rightChars="131" w:firstLine="541"/>
        <w:rPr>
          <w:rFonts w:ascii="宋体" w:hAnsi="宋体"/>
          <w:sz w:val="24"/>
          <w:u w:val="thick"/>
        </w:rPr>
      </w:pPr>
      <w:r>
        <w:rPr>
          <w:rFonts w:hint="eastAsia" w:ascii="宋体" w:hAnsi="宋体"/>
          <w:sz w:val="24"/>
        </w:rPr>
        <w:t>地    址：</w:t>
      </w:r>
      <w:r>
        <w:rPr>
          <w:rFonts w:hint="eastAsia" w:ascii="宋体" w:hAnsi="宋体"/>
          <w:sz w:val="24"/>
          <w:u w:val="thick"/>
        </w:rPr>
        <w:t xml:space="preserve">                                                       </w:t>
      </w:r>
    </w:p>
    <w:p w14:paraId="060F389A">
      <w:pPr>
        <w:spacing w:line="560" w:lineRule="exact"/>
        <w:ind w:left="-2" w:leftChars="-1" w:right="275" w:rightChars="131" w:firstLine="541"/>
        <w:rPr>
          <w:rFonts w:ascii="宋体" w:hAnsi="宋体"/>
          <w:sz w:val="24"/>
        </w:rPr>
      </w:pPr>
      <w:r>
        <w:rPr>
          <w:rFonts w:hint="eastAsia" w:ascii="宋体" w:hAnsi="宋体"/>
          <w:sz w:val="24"/>
        </w:rPr>
        <w:t>成立时间：</w:t>
      </w:r>
      <w:r>
        <w:rPr>
          <w:rFonts w:hint="eastAsia" w:ascii="宋体" w:hAnsi="宋体"/>
          <w:sz w:val="24"/>
          <w:u w:val="thick"/>
        </w:rPr>
        <w:t xml:space="preserve">              </w:t>
      </w:r>
      <w:r>
        <w:rPr>
          <w:rFonts w:hint="eastAsia" w:ascii="宋体" w:hAnsi="宋体"/>
          <w:sz w:val="24"/>
        </w:rPr>
        <w:t>年</w:t>
      </w:r>
      <w:r>
        <w:rPr>
          <w:rFonts w:hint="eastAsia" w:ascii="宋体" w:hAnsi="宋体"/>
          <w:sz w:val="24"/>
          <w:u w:val="thick"/>
        </w:rPr>
        <w:t xml:space="preserve">                </w:t>
      </w:r>
      <w:r>
        <w:rPr>
          <w:rFonts w:hint="eastAsia" w:ascii="宋体" w:hAnsi="宋体"/>
          <w:sz w:val="24"/>
        </w:rPr>
        <w:t>月</w:t>
      </w:r>
      <w:r>
        <w:rPr>
          <w:rFonts w:hint="eastAsia" w:ascii="宋体" w:hAnsi="宋体"/>
          <w:sz w:val="24"/>
          <w:u w:val="thick"/>
        </w:rPr>
        <w:t xml:space="preserve">               </w:t>
      </w:r>
      <w:r>
        <w:rPr>
          <w:rFonts w:hint="eastAsia" w:ascii="宋体" w:hAnsi="宋体"/>
          <w:sz w:val="24"/>
        </w:rPr>
        <w:t>日</w:t>
      </w:r>
    </w:p>
    <w:p w14:paraId="51E8E9CD">
      <w:pPr>
        <w:spacing w:line="560" w:lineRule="exact"/>
        <w:ind w:left="-2" w:leftChars="-1" w:right="275" w:rightChars="131" w:firstLine="541"/>
        <w:rPr>
          <w:rFonts w:ascii="宋体" w:hAnsi="宋体"/>
          <w:sz w:val="24"/>
          <w:u w:val="thick"/>
        </w:rPr>
      </w:pPr>
      <w:r>
        <w:rPr>
          <w:rFonts w:hint="eastAsia" w:ascii="宋体" w:hAnsi="宋体"/>
          <w:sz w:val="24"/>
        </w:rPr>
        <w:t>经营期限：</w:t>
      </w:r>
      <w:r>
        <w:rPr>
          <w:rFonts w:hint="eastAsia" w:ascii="宋体" w:hAnsi="宋体"/>
          <w:sz w:val="24"/>
          <w:u w:val="thick"/>
        </w:rPr>
        <w:t xml:space="preserve">                                                       </w:t>
      </w:r>
    </w:p>
    <w:p w14:paraId="3793B73E">
      <w:pPr>
        <w:spacing w:line="560" w:lineRule="exact"/>
        <w:ind w:left="-2" w:leftChars="-1" w:right="275" w:rightChars="131" w:firstLine="541"/>
        <w:rPr>
          <w:rFonts w:ascii="宋体" w:hAnsi="宋体"/>
          <w:sz w:val="24"/>
          <w:u w:val="thick"/>
        </w:rPr>
      </w:pPr>
      <w:r>
        <w:rPr>
          <w:rFonts w:hint="eastAsia" w:ascii="宋体" w:hAnsi="宋体"/>
          <w:sz w:val="24"/>
        </w:rPr>
        <w:t>姓    名：</w:t>
      </w:r>
      <w:r>
        <w:rPr>
          <w:rFonts w:hint="eastAsia" w:ascii="宋体" w:hAnsi="宋体"/>
          <w:sz w:val="24"/>
          <w:u w:val="thick"/>
        </w:rPr>
        <w:t xml:space="preserve">        </w:t>
      </w:r>
      <w:r>
        <w:rPr>
          <w:rFonts w:hint="eastAsia" w:ascii="宋体" w:hAnsi="宋体"/>
          <w:sz w:val="24"/>
        </w:rPr>
        <w:t>性别：</w:t>
      </w:r>
      <w:r>
        <w:rPr>
          <w:rFonts w:hint="eastAsia" w:ascii="宋体" w:hAnsi="宋体"/>
          <w:sz w:val="24"/>
          <w:u w:val="thick"/>
        </w:rPr>
        <w:t xml:space="preserve">        </w:t>
      </w:r>
      <w:r>
        <w:rPr>
          <w:rFonts w:hint="eastAsia" w:ascii="宋体" w:hAnsi="宋体"/>
          <w:sz w:val="24"/>
        </w:rPr>
        <w:t>年龄：</w:t>
      </w:r>
      <w:r>
        <w:rPr>
          <w:rFonts w:hint="eastAsia" w:ascii="宋体" w:hAnsi="宋体"/>
          <w:sz w:val="24"/>
          <w:u w:val="thick"/>
        </w:rPr>
        <w:t xml:space="preserve">         </w:t>
      </w:r>
      <w:r>
        <w:rPr>
          <w:rFonts w:hint="eastAsia" w:ascii="宋体" w:hAnsi="宋体"/>
          <w:sz w:val="24"/>
        </w:rPr>
        <w:t>职务：</w:t>
      </w:r>
      <w:r>
        <w:rPr>
          <w:rFonts w:hint="eastAsia" w:ascii="宋体" w:hAnsi="宋体"/>
          <w:sz w:val="24"/>
          <w:u w:val="thick"/>
        </w:rPr>
        <w:t xml:space="preserve">            </w:t>
      </w:r>
    </w:p>
    <w:p w14:paraId="0ACCE47F">
      <w:pPr>
        <w:spacing w:line="560" w:lineRule="exact"/>
        <w:ind w:left="-2" w:leftChars="-1" w:right="275" w:rightChars="131" w:firstLine="1572" w:firstLineChars="655"/>
        <w:rPr>
          <w:rFonts w:ascii="宋体" w:hAnsi="宋体"/>
          <w:sz w:val="24"/>
        </w:rPr>
      </w:pPr>
      <w:r>
        <w:rPr>
          <w:rFonts w:hint="eastAsia" w:ascii="宋体" w:hAnsi="宋体"/>
          <w:sz w:val="24"/>
        </w:rPr>
        <w:t>系</w:t>
      </w:r>
      <w:r>
        <w:rPr>
          <w:rFonts w:hint="eastAsia" w:ascii="宋体" w:hAnsi="宋体"/>
          <w:sz w:val="24"/>
          <w:u w:val="thick"/>
        </w:rPr>
        <w:t xml:space="preserve">                               </w:t>
      </w:r>
      <w:r>
        <w:rPr>
          <w:rFonts w:hint="eastAsia" w:ascii="宋体" w:hAnsi="宋体"/>
          <w:sz w:val="24"/>
        </w:rPr>
        <w:t>的法定代表人。</w:t>
      </w:r>
    </w:p>
    <w:p w14:paraId="6793B231">
      <w:pPr>
        <w:spacing w:line="560" w:lineRule="exact"/>
        <w:ind w:left="-2" w:leftChars="-1" w:right="275" w:rightChars="131" w:firstLine="541"/>
        <w:rPr>
          <w:rFonts w:ascii="宋体" w:hAnsi="宋体"/>
          <w:sz w:val="24"/>
        </w:rPr>
      </w:pPr>
    </w:p>
    <w:p w14:paraId="0B7511E3">
      <w:pPr>
        <w:spacing w:line="560" w:lineRule="exact"/>
        <w:ind w:left="-2" w:leftChars="-1" w:right="275" w:rightChars="131" w:firstLine="541"/>
        <w:rPr>
          <w:rFonts w:ascii="宋体" w:hAnsi="宋体"/>
          <w:sz w:val="24"/>
        </w:rPr>
      </w:pPr>
      <w:r>
        <w:rPr>
          <w:rFonts w:hint="eastAsia" w:ascii="宋体" w:hAnsi="宋体"/>
          <w:sz w:val="24"/>
        </w:rPr>
        <w:t>特此证明。</w:t>
      </w:r>
    </w:p>
    <w:p w14:paraId="0FF08E6B">
      <w:pPr>
        <w:spacing w:line="560" w:lineRule="exact"/>
        <w:ind w:left="-1" w:leftChars="-1" w:right="275" w:rightChars="131" w:hanging="1"/>
        <w:rPr>
          <w:rFonts w:ascii="宋体" w:hAnsi="宋体"/>
          <w:sz w:val="24"/>
        </w:rPr>
      </w:pPr>
    </w:p>
    <w:p w14:paraId="339A3125">
      <w:pPr>
        <w:spacing w:line="560" w:lineRule="exact"/>
        <w:ind w:left="-1" w:leftChars="-1" w:right="275" w:rightChars="131" w:hanging="1"/>
        <w:rPr>
          <w:rFonts w:ascii="宋体" w:hAnsi="宋体"/>
          <w:sz w:val="24"/>
        </w:rPr>
      </w:pPr>
    </w:p>
    <w:p w14:paraId="3B8C01A8">
      <w:pPr>
        <w:spacing w:line="560" w:lineRule="exact"/>
        <w:ind w:left="-1" w:leftChars="-1" w:right="275" w:rightChars="131" w:hanging="1"/>
        <w:rPr>
          <w:rFonts w:ascii="宋体" w:hAnsi="宋体"/>
          <w:sz w:val="24"/>
        </w:rPr>
      </w:pPr>
    </w:p>
    <w:p w14:paraId="1D53D50B">
      <w:pPr>
        <w:spacing w:line="560" w:lineRule="exact"/>
        <w:ind w:left="-2" w:leftChars="-1" w:right="275" w:rightChars="131" w:firstLine="3960" w:firstLineChars="1650"/>
        <w:rPr>
          <w:rFonts w:ascii="宋体" w:hAnsi="宋体"/>
          <w:sz w:val="24"/>
          <w:u w:val="thick"/>
        </w:rPr>
      </w:pPr>
      <w:r>
        <w:rPr>
          <w:rFonts w:hint="eastAsia" w:ascii="宋体" w:hAnsi="宋体"/>
          <w:sz w:val="24"/>
        </w:rPr>
        <w:t>投标人（盖章）：</w:t>
      </w:r>
      <w:r>
        <w:rPr>
          <w:rFonts w:hint="eastAsia" w:ascii="宋体" w:hAnsi="宋体"/>
          <w:sz w:val="24"/>
          <w:u w:val="thick"/>
        </w:rPr>
        <w:t xml:space="preserve">                          </w:t>
      </w:r>
    </w:p>
    <w:p w14:paraId="49EC98FF">
      <w:pPr>
        <w:spacing w:line="560" w:lineRule="exact"/>
        <w:ind w:left="-1" w:leftChars="-1" w:right="275" w:rightChars="131" w:hanging="1"/>
        <w:jc w:val="center"/>
        <w:rPr>
          <w:rFonts w:ascii="宋体" w:hAnsi="宋体"/>
          <w:sz w:val="24"/>
        </w:rPr>
      </w:pPr>
      <w:r>
        <w:rPr>
          <w:rFonts w:hint="eastAsia" w:ascii="宋体" w:hAnsi="宋体"/>
          <w:sz w:val="24"/>
        </w:rPr>
        <w:t xml:space="preserve">                                日  期：</w:t>
      </w:r>
      <w:r>
        <w:rPr>
          <w:rFonts w:hint="eastAsia" w:ascii="宋体" w:hAnsi="宋体"/>
          <w:sz w:val="24"/>
          <w:u w:val="thick"/>
        </w:rPr>
        <w:t xml:space="preserve">       </w:t>
      </w:r>
      <w:r>
        <w:rPr>
          <w:rFonts w:hint="eastAsia" w:ascii="宋体" w:hAnsi="宋体"/>
          <w:sz w:val="24"/>
        </w:rPr>
        <w:t>年</w:t>
      </w:r>
      <w:r>
        <w:rPr>
          <w:rFonts w:hint="eastAsia" w:ascii="宋体" w:hAnsi="宋体"/>
          <w:sz w:val="24"/>
          <w:u w:val="thick"/>
        </w:rPr>
        <w:t xml:space="preserve">       </w:t>
      </w:r>
      <w:r>
        <w:rPr>
          <w:rFonts w:hint="eastAsia" w:ascii="宋体" w:hAnsi="宋体"/>
          <w:sz w:val="24"/>
        </w:rPr>
        <w:t>月</w:t>
      </w:r>
      <w:r>
        <w:rPr>
          <w:rFonts w:hint="eastAsia" w:ascii="宋体" w:hAnsi="宋体"/>
          <w:sz w:val="24"/>
          <w:u w:val="thick"/>
        </w:rPr>
        <w:t xml:space="preserve">      </w:t>
      </w:r>
      <w:r>
        <w:rPr>
          <w:rFonts w:hint="eastAsia" w:ascii="宋体" w:hAnsi="宋体"/>
          <w:sz w:val="24"/>
        </w:rPr>
        <w:t>日</w:t>
      </w:r>
    </w:p>
    <w:p w14:paraId="5CB26E85">
      <w:pPr>
        <w:spacing w:line="560" w:lineRule="exact"/>
        <w:ind w:left="-1" w:leftChars="-1" w:right="275" w:rightChars="131" w:hanging="1"/>
        <w:jc w:val="center"/>
        <w:rPr>
          <w:rFonts w:ascii="宋体" w:hAnsi="宋体"/>
          <w:b/>
          <w:bCs/>
          <w:sz w:val="32"/>
          <w:szCs w:val="32"/>
        </w:rPr>
      </w:pPr>
      <w:r>
        <w:rPr>
          <w:rFonts w:hint="eastAsia" w:ascii="宋体" w:hAnsi="宋体"/>
          <w:sz w:val="24"/>
        </w:rPr>
        <w:br w:type="page"/>
      </w:r>
      <w:r>
        <w:rPr>
          <w:rFonts w:hint="eastAsia" w:ascii="宋体" w:hAnsi="宋体"/>
          <w:b/>
          <w:bCs/>
          <w:sz w:val="32"/>
          <w:szCs w:val="32"/>
        </w:rPr>
        <w:t>3.投标授权委托书</w:t>
      </w:r>
    </w:p>
    <w:p w14:paraId="1C4E3541">
      <w:pPr>
        <w:spacing w:line="560" w:lineRule="exact"/>
        <w:ind w:left="-1" w:leftChars="-1" w:right="275" w:rightChars="131" w:hanging="1"/>
        <w:rPr>
          <w:rFonts w:ascii="宋体" w:hAnsi="宋体"/>
          <w:sz w:val="24"/>
        </w:rPr>
      </w:pPr>
    </w:p>
    <w:p w14:paraId="5EF50FD4">
      <w:pPr>
        <w:spacing w:line="560" w:lineRule="exact"/>
        <w:ind w:right="275" w:rightChars="131"/>
        <w:rPr>
          <w:rFonts w:ascii="宋体" w:hAnsi="宋体"/>
          <w:sz w:val="24"/>
        </w:rPr>
      </w:pPr>
      <w:r>
        <w:rPr>
          <w:rFonts w:hint="eastAsia" w:ascii="宋体" w:hAnsi="宋体"/>
          <w:sz w:val="24"/>
        </w:rPr>
        <w:t>本授权委托书声明：</w:t>
      </w:r>
    </w:p>
    <w:p w14:paraId="2DD38A76">
      <w:pPr>
        <w:spacing w:line="560" w:lineRule="exact"/>
        <w:ind w:left="237" w:leftChars="113" w:right="275" w:rightChars="131" w:firstLine="477" w:firstLineChars="199"/>
        <w:rPr>
          <w:rFonts w:ascii="宋体" w:hAnsi="宋体"/>
          <w:sz w:val="24"/>
          <w:u w:val="single"/>
        </w:rPr>
      </w:pPr>
      <w:r>
        <w:rPr>
          <w:rFonts w:hint="eastAsia" w:ascii="宋体" w:hAnsi="宋体"/>
          <w:sz w:val="24"/>
        </w:rPr>
        <w:t>本人</w:t>
      </w:r>
      <w:r>
        <w:rPr>
          <w:rFonts w:hint="eastAsia" w:ascii="宋体" w:hAnsi="宋体"/>
          <w:b/>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的法定代表人，现授权委托</w:t>
      </w:r>
      <w:r>
        <w:rPr>
          <w:rFonts w:hint="eastAsia" w:ascii="宋体" w:hAnsi="宋体"/>
          <w:sz w:val="24"/>
          <w:u w:val="single"/>
        </w:rPr>
        <w:t xml:space="preserve">         </w:t>
      </w:r>
      <w:r>
        <w:rPr>
          <w:rFonts w:hint="eastAsia" w:ascii="宋体" w:hAnsi="宋体"/>
          <w:sz w:val="24"/>
        </w:rPr>
        <w:t>同志为我公司的合法代理人，就</w:t>
      </w:r>
      <w:r>
        <w:rPr>
          <w:rFonts w:hint="eastAsia" w:ascii="宋体" w:hAnsi="宋体"/>
          <w:sz w:val="24"/>
          <w:u w:val="single"/>
        </w:rPr>
        <w:t xml:space="preserve">                      </w:t>
      </w:r>
      <w:r>
        <w:rPr>
          <w:rFonts w:hint="eastAsia" w:ascii="宋体" w:hAnsi="宋体"/>
          <w:sz w:val="24"/>
        </w:rPr>
        <w:t>（项目名称）的投标，以本公司的名义签署投标书，解释投标文件，进行合同谈判、签署合同及处理与之有关的一切事宜。</w:t>
      </w:r>
    </w:p>
    <w:p w14:paraId="0E1346C2">
      <w:pPr>
        <w:spacing w:line="560" w:lineRule="exact"/>
        <w:ind w:left="-1" w:leftChars="-1" w:right="275" w:rightChars="131" w:hanging="1"/>
        <w:rPr>
          <w:rFonts w:ascii="宋体" w:hAnsi="宋体"/>
          <w:sz w:val="24"/>
        </w:rPr>
      </w:pPr>
    </w:p>
    <w:p w14:paraId="184E089D">
      <w:pPr>
        <w:spacing w:line="560" w:lineRule="exact"/>
        <w:ind w:left="237" w:leftChars="113" w:right="275" w:rightChars="131" w:firstLine="237" w:firstLineChars="99"/>
        <w:rPr>
          <w:rFonts w:ascii="宋体" w:hAnsi="宋体"/>
          <w:sz w:val="24"/>
        </w:rPr>
      </w:pPr>
      <w:r>
        <w:rPr>
          <w:rFonts w:hint="eastAsia" w:ascii="宋体" w:hAnsi="宋体"/>
          <w:sz w:val="24"/>
        </w:rPr>
        <w:t>代理人无转委托权，特此委托。</w:t>
      </w:r>
    </w:p>
    <w:p w14:paraId="6F090AE6">
      <w:pPr>
        <w:spacing w:line="560" w:lineRule="exact"/>
        <w:ind w:left="-1" w:leftChars="-1" w:right="275" w:rightChars="131" w:hanging="1"/>
        <w:rPr>
          <w:rFonts w:ascii="宋体" w:hAnsi="宋体"/>
          <w:sz w:val="24"/>
        </w:rPr>
      </w:pPr>
    </w:p>
    <w:p w14:paraId="7C43EEAF">
      <w:pPr>
        <w:spacing w:line="560" w:lineRule="exact"/>
        <w:ind w:left="-1" w:leftChars="-1" w:right="275" w:rightChars="131" w:hanging="1"/>
        <w:rPr>
          <w:rFonts w:ascii="宋体" w:hAnsi="宋体"/>
          <w:sz w:val="24"/>
        </w:rPr>
      </w:pPr>
    </w:p>
    <w:p w14:paraId="7AB897C4">
      <w:pPr>
        <w:spacing w:line="560" w:lineRule="exact"/>
        <w:ind w:left="-1" w:leftChars="-1" w:right="275" w:rightChars="131" w:hanging="1"/>
        <w:rPr>
          <w:rFonts w:ascii="宋体" w:hAnsi="宋体"/>
          <w:sz w:val="24"/>
          <w:u w:val="single"/>
        </w:rPr>
      </w:pPr>
      <w:r>
        <w:rPr>
          <w:rFonts w:hint="eastAsia" w:ascii="宋体" w:hAnsi="宋体"/>
          <w:sz w:val="24"/>
        </w:rPr>
        <w:t>代 理 人：</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p>
    <w:p w14:paraId="1BDF4A1C">
      <w:pPr>
        <w:spacing w:line="560" w:lineRule="exact"/>
        <w:ind w:left="-1" w:leftChars="-1" w:right="275" w:rightChars="131" w:hanging="1"/>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14:paraId="56D3F33E">
      <w:pPr>
        <w:spacing w:line="560" w:lineRule="exact"/>
        <w:ind w:left="-1" w:leftChars="-1" w:right="275" w:rightChars="131" w:hanging="1"/>
        <w:rPr>
          <w:rFonts w:ascii="宋体" w:hAnsi="宋体"/>
          <w:sz w:val="24"/>
          <w:u w:val="single"/>
        </w:rPr>
      </w:pPr>
      <w:r>
        <w:rPr>
          <w:rFonts w:hint="eastAsia" w:ascii="宋体" w:hAnsi="宋体"/>
          <w:sz w:val="24"/>
        </w:rPr>
        <w:t>投 标 人：</w:t>
      </w:r>
      <w:r>
        <w:rPr>
          <w:rFonts w:hint="eastAsia" w:ascii="宋体" w:hAnsi="宋体"/>
          <w:sz w:val="24"/>
          <w:u w:val="single"/>
        </w:rPr>
        <w:t xml:space="preserve">                                      （盖章）</w:t>
      </w:r>
    </w:p>
    <w:p w14:paraId="69C33788">
      <w:pPr>
        <w:spacing w:line="560" w:lineRule="exact"/>
        <w:ind w:left="-1" w:leftChars="-1" w:right="275" w:rightChars="131" w:hanging="1"/>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（签字或盖章）</w:t>
      </w:r>
    </w:p>
    <w:p w14:paraId="5FC1ADEE">
      <w:pPr>
        <w:spacing w:line="560" w:lineRule="exact"/>
        <w:ind w:left="-1" w:leftChars="-1" w:right="275" w:rightChars="131" w:hanging="1"/>
        <w:rPr>
          <w:rFonts w:ascii="宋体" w:hAnsi="宋体"/>
          <w:sz w:val="24"/>
          <w:u w:val="single"/>
        </w:rPr>
      </w:pPr>
    </w:p>
    <w:p w14:paraId="18907F84">
      <w:pPr>
        <w:spacing w:line="560" w:lineRule="exact"/>
        <w:ind w:left="-1" w:leftChars="-1" w:right="275" w:rightChars="131" w:hanging="1"/>
        <w:jc w:val="right"/>
        <w:rPr>
          <w:rFonts w:ascii="宋体" w:hAnsi="宋体"/>
          <w:sz w:val="24"/>
        </w:rPr>
      </w:pPr>
    </w:p>
    <w:p w14:paraId="1FC1F31E">
      <w:pPr>
        <w:spacing w:line="560" w:lineRule="exact"/>
        <w:ind w:left="-1" w:leftChars="-1" w:right="275" w:rightChars="131" w:hanging="1"/>
        <w:jc w:val="right"/>
        <w:rPr>
          <w:rFonts w:ascii="宋体" w:hAnsi="宋体"/>
          <w:sz w:val="24"/>
        </w:rPr>
      </w:pPr>
    </w:p>
    <w:p w14:paraId="263B6F33">
      <w:pPr>
        <w:spacing w:line="560" w:lineRule="exact"/>
        <w:ind w:left="-1" w:leftChars="-1" w:right="275" w:rightChars="131" w:hanging="1"/>
        <w:jc w:val="right"/>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7AB0523">
      <w:pPr>
        <w:spacing w:line="560" w:lineRule="exact"/>
        <w:ind w:left="-1" w:leftChars="-1" w:right="275" w:rightChars="131" w:hanging="1"/>
        <w:jc w:val="center"/>
        <w:rPr>
          <w:rFonts w:ascii="宋体" w:hAnsi="宋体"/>
          <w:sz w:val="24"/>
        </w:rPr>
      </w:pPr>
    </w:p>
    <w:p w14:paraId="742B191F">
      <w:pPr>
        <w:spacing w:line="560" w:lineRule="exact"/>
        <w:ind w:left="-1" w:leftChars="-1" w:right="275" w:rightChars="131" w:hanging="1"/>
        <w:rPr>
          <w:rFonts w:ascii="宋体" w:hAnsi="宋体"/>
          <w:b/>
          <w:bCs/>
          <w:sz w:val="24"/>
        </w:rPr>
      </w:pPr>
    </w:p>
    <w:p w14:paraId="40C27517">
      <w:pPr>
        <w:adjustRightInd w:val="0"/>
        <w:snapToGrid w:val="0"/>
        <w:spacing w:before="62" w:beforeLines="20" w:after="62" w:afterLines="20" w:line="560" w:lineRule="exact"/>
        <w:ind w:left="-1" w:leftChars="-1" w:hanging="1"/>
        <w:jc w:val="center"/>
        <w:rPr>
          <w:rFonts w:ascii="宋体" w:hAnsi="宋体"/>
          <w:b/>
          <w:sz w:val="28"/>
          <w:szCs w:val="28"/>
        </w:rPr>
      </w:pPr>
    </w:p>
    <w:p w14:paraId="63192C05">
      <w:pPr>
        <w:adjustRightInd w:val="0"/>
        <w:snapToGrid w:val="0"/>
        <w:spacing w:before="62" w:beforeLines="20" w:after="62" w:afterLines="20" w:line="560" w:lineRule="exact"/>
        <w:ind w:left="-1" w:leftChars="-1" w:hanging="1"/>
        <w:jc w:val="center"/>
        <w:rPr>
          <w:rFonts w:ascii="宋体" w:hAnsi="宋体"/>
          <w:b/>
          <w:sz w:val="28"/>
          <w:szCs w:val="28"/>
        </w:rPr>
      </w:pPr>
    </w:p>
    <w:p w14:paraId="020309CB">
      <w:pPr>
        <w:adjustRightInd w:val="0"/>
        <w:snapToGrid w:val="0"/>
        <w:spacing w:before="62" w:beforeLines="20" w:after="62" w:afterLines="20" w:line="560" w:lineRule="exact"/>
        <w:ind w:left="-1" w:leftChars="-1" w:hanging="1"/>
        <w:jc w:val="center"/>
        <w:rPr>
          <w:rFonts w:ascii="宋体" w:hAnsi="宋体"/>
          <w:b/>
          <w:sz w:val="28"/>
          <w:szCs w:val="28"/>
        </w:rPr>
      </w:pPr>
    </w:p>
    <w:p w14:paraId="40FB9112">
      <w:pPr>
        <w:pStyle w:val="2"/>
        <w:ind w:firstLine="2249" w:firstLineChars="700"/>
        <w:rPr>
          <w:rFonts w:ascii="宋体" w:hAnsi="宋体"/>
          <w:b/>
          <w:bCs/>
          <w:sz w:val="32"/>
          <w:szCs w:val="32"/>
        </w:rPr>
      </w:pPr>
      <w:r>
        <w:rPr>
          <w:rFonts w:hint="eastAsia" w:ascii="宋体" w:hAnsi="宋体"/>
          <w:b/>
          <w:bCs/>
          <w:sz w:val="32"/>
          <w:szCs w:val="32"/>
        </w:rPr>
        <w:t>4.实施方案、培训方案</w:t>
      </w:r>
    </w:p>
    <w:p w14:paraId="09171BA8">
      <w:pPr>
        <w:ind w:left="-2" w:leftChars="-1" w:right="275" w:rightChars="131"/>
        <w:jc w:val="center"/>
        <w:rPr>
          <w:rFonts w:ascii="宋体" w:hAnsi="宋体"/>
          <w:sz w:val="24"/>
        </w:rPr>
      </w:pPr>
      <w:r>
        <w:rPr>
          <w:rFonts w:hint="eastAsia" w:ascii="宋体" w:hAnsi="宋体"/>
          <w:sz w:val="24"/>
        </w:rPr>
        <w:t>（投标人可自行制作格式）</w:t>
      </w:r>
    </w:p>
    <w:p w14:paraId="51848A63">
      <w:pPr>
        <w:pStyle w:val="2"/>
        <w:ind w:firstLine="2891" w:firstLineChars="900"/>
        <w:rPr>
          <w:rFonts w:ascii="宋体" w:hAnsi="宋体"/>
          <w:b/>
          <w:bCs/>
          <w:sz w:val="32"/>
          <w:szCs w:val="32"/>
        </w:rPr>
      </w:pPr>
      <w:r>
        <w:rPr>
          <w:rFonts w:hint="eastAsia" w:ascii="宋体" w:hAnsi="宋体"/>
          <w:b/>
          <w:bCs/>
          <w:sz w:val="32"/>
          <w:szCs w:val="32"/>
        </w:rPr>
        <w:t>5.售后服务承诺</w:t>
      </w:r>
    </w:p>
    <w:p w14:paraId="5E9D9269">
      <w:pPr>
        <w:ind w:left="-2" w:leftChars="-1" w:right="275" w:rightChars="131"/>
        <w:jc w:val="center"/>
        <w:rPr>
          <w:rFonts w:ascii="宋体" w:hAnsi="宋体"/>
          <w:sz w:val="24"/>
        </w:rPr>
      </w:pPr>
      <w:r>
        <w:rPr>
          <w:rFonts w:hint="eastAsia" w:ascii="宋体" w:hAnsi="宋体"/>
          <w:sz w:val="24"/>
        </w:rPr>
        <w:t>（投标人可自行制作格式）</w:t>
      </w:r>
    </w:p>
    <w:p w14:paraId="420ACD60">
      <w:pPr>
        <w:pStyle w:val="2"/>
        <w:ind w:firstLine="2891" w:firstLineChars="900"/>
        <w:rPr>
          <w:rFonts w:ascii="宋体" w:hAnsi="宋体"/>
          <w:b/>
          <w:bCs/>
          <w:sz w:val="32"/>
          <w:szCs w:val="32"/>
        </w:rPr>
      </w:pPr>
      <w:r>
        <w:rPr>
          <w:rFonts w:hint="eastAsia" w:ascii="宋体" w:hAnsi="宋体"/>
          <w:b/>
          <w:bCs/>
          <w:sz w:val="32"/>
          <w:szCs w:val="32"/>
        </w:rPr>
        <w:t>6.安全保障方案</w:t>
      </w:r>
    </w:p>
    <w:p w14:paraId="4B8D3FE2">
      <w:pPr>
        <w:ind w:left="-2" w:leftChars="-1" w:right="275" w:rightChars="131"/>
        <w:jc w:val="center"/>
        <w:rPr>
          <w:rFonts w:ascii="宋体" w:hAnsi="宋体"/>
          <w:sz w:val="24"/>
        </w:rPr>
      </w:pPr>
      <w:r>
        <w:rPr>
          <w:rFonts w:hint="eastAsia" w:ascii="宋体" w:hAnsi="宋体"/>
          <w:sz w:val="24"/>
        </w:rPr>
        <w:t>（投标人可自行制作格式）</w:t>
      </w:r>
    </w:p>
    <w:p w14:paraId="5FD839C0">
      <w:pPr>
        <w:ind w:right="275" w:rightChars="131"/>
        <w:jc w:val="center"/>
        <w:rPr>
          <w:rFonts w:ascii="宋体" w:hAnsi="宋体"/>
          <w:b/>
          <w:bCs/>
          <w:sz w:val="32"/>
          <w:szCs w:val="32"/>
        </w:rPr>
      </w:pPr>
      <w:r>
        <w:rPr>
          <w:rFonts w:hint="eastAsia" w:ascii="宋体" w:hAnsi="宋体"/>
          <w:b/>
          <w:bCs/>
          <w:sz w:val="32"/>
          <w:szCs w:val="32"/>
        </w:rPr>
        <w:t>7.企业业绩</w:t>
      </w:r>
    </w:p>
    <w:p w14:paraId="72BCBB37">
      <w:pPr>
        <w:ind w:left="-2" w:leftChars="-1" w:right="275" w:rightChars="131"/>
        <w:jc w:val="center"/>
        <w:rPr>
          <w:rFonts w:ascii="宋体" w:hAnsi="宋体"/>
          <w:sz w:val="24"/>
        </w:rPr>
      </w:pPr>
      <w:r>
        <w:rPr>
          <w:rFonts w:hint="eastAsia" w:ascii="宋体" w:hAnsi="宋体"/>
          <w:sz w:val="24"/>
        </w:rPr>
        <w:t>（投标人可自行制作格式）</w:t>
      </w:r>
    </w:p>
    <w:p w14:paraId="796D442F">
      <w:pPr>
        <w:ind w:left="-2" w:leftChars="-1" w:right="275" w:rightChars="131"/>
        <w:jc w:val="center"/>
        <w:rPr>
          <w:rFonts w:ascii="宋体" w:hAnsi="宋体"/>
          <w:b/>
          <w:bCs/>
          <w:sz w:val="32"/>
          <w:szCs w:val="32"/>
        </w:rPr>
      </w:pPr>
      <w:r>
        <w:rPr>
          <w:rFonts w:hint="eastAsia" w:ascii="宋体" w:hAnsi="宋体"/>
          <w:b/>
          <w:bCs/>
          <w:sz w:val="32"/>
          <w:szCs w:val="32"/>
        </w:rPr>
        <w:t>8.其他证明和承诺材料</w:t>
      </w:r>
    </w:p>
    <w:p w14:paraId="2F40ECA0">
      <w:pPr>
        <w:ind w:left="-2" w:leftChars="-1" w:right="275" w:rightChars="131"/>
        <w:jc w:val="center"/>
        <w:rPr>
          <w:rFonts w:ascii="宋体" w:hAnsi="宋体"/>
          <w:sz w:val="24"/>
        </w:rPr>
      </w:pPr>
      <w:r>
        <w:rPr>
          <w:rFonts w:hint="eastAsia" w:ascii="宋体" w:hAnsi="宋体"/>
          <w:sz w:val="24"/>
        </w:rPr>
        <w:t>（投标人可自行制作格式）</w:t>
      </w:r>
    </w:p>
    <w:p w14:paraId="1E51131E">
      <w:pPr>
        <w:ind w:left="-2" w:leftChars="-1" w:right="275" w:rightChars="131"/>
        <w:jc w:val="center"/>
        <w:rPr>
          <w:rFonts w:ascii="宋体" w:hAnsi="宋体"/>
          <w:b/>
          <w:bCs/>
          <w:sz w:val="32"/>
          <w:szCs w:val="32"/>
        </w:rPr>
      </w:pPr>
      <w:r>
        <w:rPr>
          <w:rFonts w:hint="eastAsia" w:ascii="宋体" w:hAnsi="宋体"/>
          <w:b/>
          <w:bCs/>
          <w:sz w:val="32"/>
          <w:szCs w:val="32"/>
        </w:rPr>
        <w:t>9.投标保证金交纳相关证明材料（如有）</w:t>
      </w:r>
    </w:p>
    <w:p w14:paraId="0AB75C89">
      <w:pPr>
        <w:spacing w:before="293"/>
        <w:jc w:val="center"/>
        <w:outlineLvl w:val="2"/>
        <w:rPr>
          <w:rFonts w:ascii="宋体" w:hAnsi="宋体" w:cs="宋体"/>
          <w:sz w:val="20"/>
          <w:szCs w:val="20"/>
        </w:rPr>
      </w:pPr>
      <w:r>
        <w:rPr>
          <w:rFonts w:ascii="宋体" w:hAnsi="宋体" w:cs="宋体"/>
          <w:b/>
          <w:bCs/>
          <w:spacing w:val="7"/>
          <w:sz w:val="20"/>
          <w:szCs w:val="20"/>
        </w:rPr>
        <w:t>（一）投标保证金付款凭证复印件</w:t>
      </w:r>
    </w:p>
    <w:p w14:paraId="7F13DAD3"/>
    <w:p w14:paraId="32D64598"/>
    <w:p w14:paraId="4C8F624A"/>
    <w:p w14:paraId="68A4AB91"/>
    <w:p w14:paraId="14463E05"/>
    <w:p w14:paraId="3560C1FD"/>
    <w:p w14:paraId="2FFA60CB"/>
    <w:p w14:paraId="23535D0A"/>
    <w:p w14:paraId="5C967CF5"/>
    <w:p w14:paraId="299A6139"/>
    <w:p w14:paraId="0799C359"/>
    <w:p w14:paraId="5767C808"/>
    <w:p w14:paraId="0304FC0F"/>
    <w:p w14:paraId="5A6F9034"/>
    <w:p w14:paraId="5C67A7EC"/>
    <w:p w14:paraId="52FEDECC"/>
    <w:p w14:paraId="30BE701F"/>
    <w:p w14:paraId="642DEAA0"/>
    <w:p w14:paraId="5B64B03F"/>
    <w:p w14:paraId="3ADEBDC3">
      <w:pPr>
        <w:spacing w:before="65" w:line="228" w:lineRule="auto"/>
        <w:jc w:val="center"/>
        <w:outlineLvl w:val="2"/>
        <w:rPr>
          <w:rFonts w:ascii="宋体" w:hAnsi="宋体" w:cs="宋体"/>
          <w:b/>
          <w:bCs/>
          <w:spacing w:val="7"/>
          <w:sz w:val="20"/>
          <w:szCs w:val="20"/>
        </w:rPr>
      </w:pPr>
    </w:p>
    <w:p w14:paraId="3330B478">
      <w:pPr>
        <w:spacing w:before="65" w:line="228" w:lineRule="auto"/>
        <w:jc w:val="center"/>
        <w:outlineLvl w:val="2"/>
        <w:rPr>
          <w:rFonts w:ascii="宋体" w:hAnsi="宋体" w:cs="宋体"/>
          <w:b/>
          <w:bCs/>
          <w:spacing w:val="7"/>
          <w:sz w:val="20"/>
          <w:szCs w:val="20"/>
        </w:rPr>
      </w:pPr>
    </w:p>
    <w:p w14:paraId="2B8515B1">
      <w:pPr>
        <w:spacing w:before="65" w:line="228" w:lineRule="auto"/>
        <w:jc w:val="center"/>
        <w:outlineLvl w:val="2"/>
        <w:rPr>
          <w:rFonts w:ascii="宋体" w:hAnsi="宋体" w:cs="宋体"/>
          <w:b/>
          <w:bCs/>
          <w:spacing w:val="7"/>
          <w:sz w:val="20"/>
          <w:szCs w:val="20"/>
        </w:rPr>
      </w:pPr>
    </w:p>
    <w:p w14:paraId="05DBFE45">
      <w:pPr>
        <w:spacing w:before="65" w:line="228" w:lineRule="auto"/>
        <w:jc w:val="center"/>
        <w:outlineLvl w:val="2"/>
        <w:rPr>
          <w:rFonts w:ascii="宋体" w:hAnsi="宋体" w:cs="宋体"/>
          <w:b/>
          <w:bCs/>
          <w:spacing w:val="7"/>
          <w:sz w:val="20"/>
          <w:szCs w:val="20"/>
        </w:rPr>
      </w:pPr>
    </w:p>
    <w:p w14:paraId="186C897D">
      <w:pPr>
        <w:spacing w:before="65" w:line="228" w:lineRule="auto"/>
        <w:jc w:val="center"/>
        <w:outlineLvl w:val="2"/>
        <w:rPr>
          <w:rFonts w:ascii="宋体" w:hAnsi="宋体" w:cs="宋体"/>
          <w:b/>
          <w:bCs/>
          <w:spacing w:val="7"/>
          <w:sz w:val="20"/>
          <w:szCs w:val="20"/>
        </w:rPr>
      </w:pPr>
    </w:p>
    <w:p w14:paraId="41D4F2B4">
      <w:pPr>
        <w:spacing w:before="65" w:line="228" w:lineRule="auto"/>
        <w:jc w:val="center"/>
        <w:outlineLvl w:val="2"/>
        <w:rPr>
          <w:rFonts w:ascii="宋体" w:hAnsi="宋体" w:cs="宋体"/>
          <w:sz w:val="20"/>
          <w:szCs w:val="20"/>
        </w:rPr>
      </w:pPr>
      <w:r>
        <w:rPr>
          <w:rFonts w:ascii="宋体" w:hAnsi="宋体" w:cs="宋体"/>
          <w:b/>
          <w:bCs/>
          <w:spacing w:val="7"/>
          <w:sz w:val="20"/>
          <w:szCs w:val="20"/>
        </w:rPr>
        <w:t>（二）投标保证金转账退还信息函</w:t>
      </w:r>
    </w:p>
    <w:p w14:paraId="5A946519">
      <w:pPr>
        <w:ind w:firstLine="444" w:firstLineChars="200"/>
        <w:rPr>
          <w:rFonts w:ascii="宋体" w:hAnsi="宋体" w:cs="宋体"/>
          <w:spacing w:val="1"/>
          <w:sz w:val="20"/>
          <w:szCs w:val="20"/>
        </w:rPr>
      </w:pPr>
      <w:r>
        <w:rPr>
          <w:rFonts w:ascii="宋体" w:hAnsi="宋体" w:cs="宋体"/>
          <w:spacing w:val="11"/>
          <w:sz w:val="20"/>
          <w:szCs w:val="20"/>
        </w:rPr>
        <w:t>（说明：本格式适用于以本票、汇票或电汇形式递交的投标保证金的退还。</w:t>
      </w:r>
      <w:r>
        <w:rPr>
          <w:rFonts w:ascii="宋体" w:hAnsi="宋体" w:cs="宋体"/>
          <w:b/>
          <w:bCs/>
          <w:spacing w:val="11"/>
          <w:sz w:val="20"/>
          <w:szCs w:val="20"/>
        </w:rPr>
        <w:t>投</w:t>
      </w:r>
      <w:r>
        <w:rPr>
          <w:rFonts w:ascii="宋体" w:hAnsi="宋体" w:cs="宋体"/>
          <w:b/>
          <w:bCs/>
          <w:spacing w:val="10"/>
          <w:sz w:val="20"/>
          <w:szCs w:val="20"/>
        </w:rPr>
        <w:t>标保证金转账退还信</w:t>
      </w:r>
      <w:r>
        <w:rPr>
          <w:rFonts w:ascii="宋体" w:hAnsi="宋体" w:cs="宋体"/>
          <w:b/>
          <w:bCs/>
          <w:spacing w:val="1"/>
          <w:sz w:val="20"/>
          <w:szCs w:val="20"/>
        </w:rPr>
        <w:t>息函请随同</w:t>
      </w:r>
      <w:r>
        <w:rPr>
          <w:rFonts w:hint="eastAsia" w:ascii="宋体" w:hAnsi="宋体" w:cs="宋体"/>
          <w:b/>
          <w:bCs/>
          <w:spacing w:val="1"/>
          <w:sz w:val="20"/>
          <w:szCs w:val="20"/>
        </w:rPr>
        <w:t>投标报价表</w:t>
      </w:r>
      <w:r>
        <w:rPr>
          <w:rFonts w:ascii="宋体" w:hAnsi="宋体" w:cs="宋体"/>
          <w:b/>
          <w:bCs/>
          <w:spacing w:val="1"/>
          <w:sz w:val="20"/>
          <w:szCs w:val="20"/>
        </w:rPr>
        <w:t>一起密封、递交</w:t>
      </w:r>
      <w:r>
        <w:rPr>
          <w:rFonts w:ascii="宋体" w:hAnsi="宋体" w:cs="宋体"/>
          <w:spacing w:val="1"/>
          <w:sz w:val="20"/>
          <w:szCs w:val="20"/>
        </w:rPr>
        <w:t>。）</w:t>
      </w:r>
    </w:p>
    <w:p w14:paraId="2E02FEDA">
      <w:pPr>
        <w:spacing w:before="30" w:line="228" w:lineRule="auto"/>
        <w:rPr>
          <w:rFonts w:ascii="宋体" w:hAnsi="宋体" w:cs="宋体"/>
          <w:spacing w:val="8"/>
          <w:sz w:val="20"/>
          <w:szCs w:val="20"/>
        </w:rPr>
      </w:pPr>
      <w:r>
        <w:rPr>
          <w:rFonts w:hint="eastAsia" w:ascii="宋体" w:hAnsi="宋体" w:cs="宋体"/>
          <w:spacing w:val="8"/>
          <w:sz w:val="20"/>
          <w:szCs w:val="20"/>
        </w:rPr>
        <w:t>南京财经大学红山学院</w:t>
      </w:r>
      <w:r>
        <w:rPr>
          <w:rFonts w:ascii="宋体" w:hAnsi="宋体" w:cs="宋体"/>
          <w:spacing w:val="8"/>
          <w:sz w:val="20"/>
          <w:szCs w:val="20"/>
        </w:rPr>
        <w:t>：</w:t>
      </w:r>
    </w:p>
    <w:p w14:paraId="5B73CB8A">
      <w:pPr>
        <w:spacing w:before="30" w:line="228" w:lineRule="auto"/>
        <w:ind w:firstLine="436" w:firstLineChars="200"/>
        <w:rPr>
          <w:rFonts w:ascii="宋体" w:hAnsi="宋体" w:cs="宋体"/>
          <w:sz w:val="20"/>
          <w:szCs w:val="20"/>
        </w:rPr>
      </w:pPr>
      <w:r>
        <w:rPr>
          <w:rFonts w:ascii="宋体" w:hAnsi="宋体" w:cs="宋体"/>
          <w:spacing w:val="9"/>
          <w:sz w:val="20"/>
          <w:szCs w:val="20"/>
        </w:rPr>
        <w:t>我公司参加贵单位</w:t>
      </w:r>
      <w:r>
        <w:rPr>
          <w:rFonts w:hint="eastAsia" w:ascii="宋体" w:hAnsi="宋体" w:cs="宋体"/>
          <w:spacing w:val="9"/>
          <w:sz w:val="20"/>
          <w:szCs w:val="20"/>
        </w:rPr>
        <w:t>发布</w:t>
      </w:r>
      <w:r>
        <w:rPr>
          <w:rFonts w:ascii="宋体" w:hAnsi="宋体" w:cs="宋体"/>
          <w:spacing w:val="9"/>
          <w:sz w:val="20"/>
          <w:szCs w:val="20"/>
        </w:rPr>
        <w:t>的招标项目的投标，投标保证金退还信息及开票信息详见下表：</w:t>
      </w:r>
    </w:p>
    <w:p w14:paraId="4034E50F">
      <w:pPr>
        <w:spacing w:line="20" w:lineRule="exact"/>
      </w:pPr>
    </w:p>
    <w:tbl>
      <w:tblPr>
        <w:tblStyle w:val="13"/>
        <w:tblpPr w:leftFromText="180" w:rightFromText="180" w:vertAnchor="text" w:horzAnchor="page" w:tblpX="1538" w:tblpY="40"/>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3022"/>
        <w:gridCol w:w="1910"/>
        <w:gridCol w:w="2178"/>
      </w:tblGrid>
      <w:tr w14:paraId="654CA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6" w:type="dxa"/>
          </w:tcPr>
          <w:p w14:paraId="6DFA9D11">
            <w:pPr>
              <w:pStyle w:val="19"/>
              <w:spacing w:before="178" w:line="229" w:lineRule="auto"/>
              <w:ind w:left="542"/>
            </w:pPr>
            <w:r>
              <w:rPr>
                <w:spacing w:val="6"/>
              </w:rPr>
              <w:t>项目名称</w:t>
            </w:r>
          </w:p>
        </w:tc>
        <w:tc>
          <w:tcPr>
            <w:tcW w:w="3022" w:type="dxa"/>
          </w:tcPr>
          <w:p w14:paraId="2A0F90A0">
            <w:pPr>
              <w:rPr>
                <w:rFonts w:ascii="Arial"/>
              </w:rPr>
            </w:pPr>
          </w:p>
        </w:tc>
        <w:tc>
          <w:tcPr>
            <w:tcW w:w="1910" w:type="dxa"/>
          </w:tcPr>
          <w:p w14:paraId="626C4C65">
            <w:pPr>
              <w:pStyle w:val="19"/>
              <w:spacing w:before="178" w:line="228" w:lineRule="auto"/>
              <w:ind w:left="541"/>
            </w:pPr>
            <w:r>
              <w:rPr>
                <w:spacing w:val="7"/>
              </w:rPr>
              <w:t>招标编号</w:t>
            </w:r>
          </w:p>
        </w:tc>
        <w:tc>
          <w:tcPr>
            <w:tcW w:w="2178" w:type="dxa"/>
          </w:tcPr>
          <w:p w14:paraId="7DD5D040">
            <w:pPr>
              <w:rPr>
                <w:rFonts w:ascii="Arial"/>
              </w:rPr>
            </w:pPr>
          </w:p>
        </w:tc>
      </w:tr>
      <w:tr w14:paraId="16EC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62480E88">
            <w:pPr>
              <w:pStyle w:val="19"/>
              <w:spacing w:before="173" w:line="229" w:lineRule="auto"/>
              <w:ind w:left="541"/>
            </w:pPr>
            <w:r>
              <w:rPr>
                <w:spacing w:val="6"/>
              </w:rPr>
              <w:t>单位名称</w:t>
            </w:r>
          </w:p>
        </w:tc>
        <w:tc>
          <w:tcPr>
            <w:tcW w:w="3022" w:type="dxa"/>
          </w:tcPr>
          <w:p w14:paraId="4CC04396">
            <w:pPr>
              <w:rPr>
                <w:rFonts w:ascii="Arial"/>
              </w:rPr>
            </w:pPr>
          </w:p>
        </w:tc>
        <w:tc>
          <w:tcPr>
            <w:tcW w:w="1910" w:type="dxa"/>
          </w:tcPr>
          <w:p w14:paraId="1FA231B2">
            <w:pPr>
              <w:pStyle w:val="19"/>
              <w:spacing w:before="173" w:line="229" w:lineRule="auto"/>
              <w:ind w:left="227"/>
            </w:pPr>
            <w:r>
              <w:rPr>
                <w:spacing w:val="8"/>
              </w:rPr>
              <w:t>保证金交纳方式</w:t>
            </w:r>
          </w:p>
        </w:tc>
        <w:tc>
          <w:tcPr>
            <w:tcW w:w="2178" w:type="dxa"/>
          </w:tcPr>
          <w:p w14:paraId="27AB5282">
            <w:pPr>
              <w:rPr>
                <w:rFonts w:ascii="Arial"/>
              </w:rPr>
            </w:pPr>
          </w:p>
        </w:tc>
      </w:tr>
      <w:tr w14:paraId="105F3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794F5719">
            <w:pPr>
              <w:pStyle w:val="19"/>
              <w:spacing w:before="175" w:line="229" w:lineRule="auto"/>
              <w:ind w:left="540"/>
            </w:pPr>
            <w:r>
              <w:rPr>
                <w:spacing w:val="7"/>
              </w:rPr>
              <w:t>开户银行</w:t>
            </w:r>
          </w:p>
        </w:tc>
        <w:tc>
          <w:tcPr>
            <w:tcW w:w="3022" w:type="dxa"/>
          </w:tcPr>
          <w:p w14:paraId="6EFE46D9">
            <w:pPr>
              <w:rPr>
                <w:rFonts w:ascii="Arial"/>
              </w:rPr>
            </w:pPr>
          </w:p>
        </w:tc>
        <w:tc>
          <w:tcPr>
            <w:tcW w:w="1910" w:type="dxa"/>
          </w:tcPr>
          <w:p w14:paraId="104E8C05">
            <w:pPr>
              <w:pStyle w:val="19"/>
              <w:spacing w:before="175" w:line="229" w:lineRule="auto"/>
              <w:ind w:left="541"/>
            </w:pPr>
            <w:r>
              <w:rPr>
                <w:spacing w:val="7"/>
              </w:rPr>
              <w:t>银行账号</w:t>
            </w:r>
          </w:p>
        </w:tc>
        <w:tc>
          <w:tcPr>
            <w:tcW w:w="2178" w:type="dxa"/>
          </w:tcPr>
          <w:p w14:paraId="29BCF1DB">
            <w:pPr>
              <w:rPr>
                <w:rFonts w:ascii="Arial"/>
              </w:rPr>
            </w:pPr>
          </w:p>
        </w:tc>
      </w:tr>
      <w:tr w14:paraId="2B9D2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2015D51C">
            <w:pPr>
              <w:pStyle w:val="19"/>
              <w:spacing w:before="175" w:line="228" w:lineRule="auto"/>
              <w:ind w:left="539"/>
            </w:pPr>
            <w:r>
              <w:rPr>
                <w:spacing w:val="7"/>
              </w:rPr>
              <w:t>汇款金额</w:t>
            </w:r>
          </w:p>
        </w:tc>
        <w:tc>
          <w:tcPr>
            <w:tcW w:w="7110" w:type="dxa"/>
            <w:gridSpan w:val="3"/>
          </w:tcPr>
          <w:p w14:paraId="509092FD">
            <w:pPr>
              <w:pStyle w:val="19"/>
              <w:spacing w:before="174" w:line="228" w:lineRule="auto"/>
              <w:ind w:left="2825"/>
            </w:pPr>
            <w:r>
              <w:rPr>
                <w:spacing w:val="6"/>
              </w:rPr>
              <w:t>人民币大写小写</w:t>
            </w:r>
          </w:p>
        </w:tc>
      </w:tr>
      <w:tr w14:paraId="1523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0F6E38EC">
            <w:pPr>
              <w:pStyle w:val="19"/>
              <w:spacing w:before="176" w:line="231" w:lineRule="auto"/>
              <w:ind w:left="539"/>
            </w:pPr>
            <w:r>
              <w:rPr>
                <w:spacing w:val="7"/>
              </w:rPr>
              <w:t>汇出时间</w:t>
            </w:r>
          </w:p>
        </w:tc>
        <w:tc>
          <w:tcPr>
            <w:tcW w:w="7110" w:type="dxa"/>
            <w:gridSpan w:val="3"/>
          </w:tcPr>
          <w:p w14:paraId="6C168750">
            <w:pPr>
              <w:rPr>
                <w:rFonts w:ascii="Arial"/>
              </w:rPr>
            </w:pPr>
          </w:p>
        </w:tc>
      </w:tr>
      <w:tr w14:paraId="7F6A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16" w:type="dxa"/>
            <w:gridSpan w:val="4"/>
          </w:tcPr>
          <w:p w14:paraId="5A12EC45">
            <w:pPr>
              <w:pStyle w:val="19"/>
              <w:spacing w:before="177" w:line="228" w:lineRule="auto"/>
              <w:ind w:left="4303"/>
            </w:pPr>
            <w:r>
              <w:rPr>
                <w:b/>
                <w:bCs/>
                <w:spacing w:val="6"/>
              </w:rPr>
              <w:t>开具发票信息</w:t>
            </w:r>
          </w:p>
        </w:tc>
      </w:tr>
      <w:tr w14:paraId="57140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06" w:type="dxa"/>
          </w:tcPr>
          <w:p w14:paraId="0E12A8B4">
            <w:pPr>
              <w:pStyle w:val="19"/>
              <w:spacing w:before="178" w:line="228" w:lineRule="auto"/>
              <w:ind w:left="542"/>
            </w:pPr>
            <w:r>
              <w:rPr>
                <w:spacing w:val="6"/>
              </w:rPr>
              <w:t>发票类型</w:t>
            </w:r>
          </w:p>
        </w:tc>
        <w:tc>
          <w:tcPr>
            <w:tcW w:w="7110" w:type="dxa"/>
            <w:gridSpan w:val="3"/>
          </w:tcPr>
          <w:p w14:paraId="11897FC5">
            <w:pPr>
              <w:pStyle w:val="19"/>
              <w:spacing w:before="177" w:line="180" w:lineRule="auto"/>
              <w:ind w:left="1753"/>
              <w:rPr>
                <w:lang w:eastAsia="zh-CN"/>
              </w:rPr>
            </w:pPr>
            <w:r>
              <w:rPr>
                <w:rFonts w:ascii="微软雅黑" w:hAnsi="微软雅黑" w:eastAsia="微软雅黑" w:cs="微软雅黑"/>
                <w:spacing w:val="13"/>
                <w:lang w:eastAsia="zh-CN"/>
              </w:rPr>
              <w:t>□</w:t>
            </w:r>
            <w:r>
              <w:rPr>
                <w:spacing w:val="13"/>
                <w:lang w:eastAsia="zh-CN"/>
              </w:rPr>
              <w:t>增值税普通发票</w:t>
            </w:r>
            <w:r>
              <w:rPr>
                <w:rFonts w:ascii="微软雅黑" w:hAnsi="微软雅黑" w:eastAsia="微软雅黑" w:cs="微软雅黑"/>
                <w:spacing w:val="13"/>
                <w:lang w:eastAsia="zh-CN"/>
              </w:rPr>
              <w:t>□</w:t>
            </w:r>
            <w:r>
              <w:rPr>
                <w:spacing w:val="13"/>
                <w:lang w:eastAsia="zh-CN"/>
              </w:rPr>
              <w:t>增值税专用发票</w:t>
            </w:r>
          </w:p>
        </w:tc>
      </w:tr>
      <w:tr w14:paraId="5B20C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70D8C40D">
            <w:pPr>
              <w:pStyle w:val="19"/>
              <w:spacing w:before="176" w:line="228" w:lineRule="auto"/>
              <w:ind w:left="370"/>
              <w:rPr>
                <w:lang w:eastAsia="zh-CN"/>
              </w:rPr>
            </w:pPr>
            <w:r>
              <w:rPr>
                <w:spacing w:val="9"/>
                <w:lang w:eastAsia="zh-CN"/>
              </w:rPr>
              <w:t>税号（三证合一单位提供统一社会信用代码）</w:t>
            </w:r>
          </w:p>
        </w:tc>
        <w:tc>
          <w:tcPr>
            <w:tcW w:w="4088" w:type="dxa"/>
            <w:gridSpan w:val="2"/>
          </w:tcPr>
          <w:p w14:paraId="35899963">
            <w:pPr>
              <w:rPr>
                <w:rFonts w:ascii="Arial"/>
              </w:rPr>
            </w:pPr>
          </w:p>
        </w:tc>
      </w:tr>
      <w:tr w14:paraId="28BA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2A14D24D">
            <w:pPr>
              <w:pStyle w:val="19"/>
              <w:spacing w:before="178" w:line="229" w:lineRule="auto"/>
              <w:ind w:left="1842"/>
            </w:pPr>
            <w:r>
              <w:rPr>
                <w:spacing w:val="7"/>
              </w:rPr>
              <w:t>单位注册地址</w:t>
            </w:r>
          </w:p>
        </w:tc>
        <w:tc>
          <w:tcPr>
            <w:tcW w:w="4088" w:type="dxa"/>
            <w:gridSpan w:val="2"/>
          </w:tcPr>
          <w:p w14:paraId="3BA1F923">
            <w:pPr>
              <w:rPr>
                <w:rFonts w:ascii="Arial"/>
              </w:rPr>
            </w:pPr>
          </w:p>
        </w:tc>
      </w:tr>
      <w:tr w14:paraId="03B8A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32A999DF">
            <w:pPr>
              <w:pStyle w:val="19"/>
              <w:spacing w:before="177" w:line="228" w:lineRule="auto"/>
              <w:ind w:left="687"/>
              <w:rPr>
                <w:lang w:eastAsia="zh-CN"/>
              </w:rPr>
            </w:pPr>
            <w:r>
              <w:rPr>
                <w:spacing w:val="8"/>
                <w:lang w:eastAsia="zh-CN"/>
              </w:rPr>
              <w:t>单位联系电话（增值税发票上填列的）</w:t>
            </w:r>
          </w:p>
        </w:tc>
        <w:tc>
          <w:tcPr>
            <w:tcW w:w="4088" w:type="dxa"/>
            <w:gridSpan w:val="2"/>
          </w:tcPr>
          <w:p w14:paraId="1AF9BAF6">
            <w:pPr>
              <w:rPr>
                <w:rFonts w:ascii="Arial"/>
              </w:rPr>
            </w:pPr>
          </w:p>
        </w:tc>
      </w:tr>
      <w:tr w14:paraId="0A52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39CFE995">
            <w:pPr>
              <w:pStyle w:val="19"/>
              <w:spacing w:before="177" w:line="228" w:lineRule="auto"/>
              <w:ind w:left="266"/>
              <w:rPr>
                <w:lang w:eastAsia="zh-CN"/>
              </w:rPr>
            </w:pPr>
            <w:r>
              <w:rPr>
                <w:spacing w:val="9"/>
                <w:lang w:eastAsia="zh-CN"/>
              </w:rPr>
              <w:t>开户银行及账号（在主管国税机关备案登记</w:t>
            </w:r>
            <w:r>
              <w:rPr>
                <w:spacing w:val="8"/>
                <w:lang w:eastAsia="zh-CN"/>
              </w:rPr>
              <w:t>的）</w:t>
            </w:r>
          </w:p>
        </w:tc>
        <w:tc>
          <w:tcPr>
            <w:tcW w:w="4088" w:type="dxa"/>
            <w:gridSpan w:val="2"/>
          </w:tcPr>
          <w:p w14:paraId="5A8B620F">
            <w:pPr>
              <w:rPr>
                <w:rFonts w:ascii="Arial"/>
              </w:rPr>
            </w:pPr>
          </w:p>
        </w:tc>
      </w:tr>
      <w:tr w14:paraId="6619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16" w:type="dxa"/>
            <w:gridSpan w:val="4"/>
          </w:tcPr>
          <w:p w14:paraId="361869F1">
            <w:pPr>
              <w:pStyle w:val="19"/>
              <w:spacing w:before="177" w:line="228" w:lineRule="auto"/>
              <w:ind w:left="3358"/>
              <w:rPr>
                <w:lang w:eastAsia="zh-CN"/>
              </w:rPr>
            </w:pPr>
            <w:r>
              <w:rPr>
                <w:b/>
                <w:bCs/>
                <w:spacing w:val="7"/>
                <w:lang w:eastAsia="zh-CN"/>
              </w:rPr>
              <w:t>如需邮寄发票，请填写如下内容：</w:t>
            </w:r>
          </w:p>
        </w:tc>
      </w:tr>
      <w:tr w14:paraId="211C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06" w:type="dxa"/>
          </w:tcPr>
          <w:p w14:paraId="4479CA21">
            <w:pPr>
              <w:pStyle w:val="19"/>
              <w:spacing w:before="178" w:line="228" w:lineRule="auto"/>
              <w:ind w:left="441"/>
            </w:pPr>
            <w:r>
              <w:rPr>
                <w:spacing w:val="6"/>
              </w:rPr>
              <w:t>收件人地址</w:t>
            </w:r>
          </w:p>
        </w:tc>
        <w:tc>
          <w:tcPr>
            <w:tcW w:w="3022" w:type="dxa"/>
          </w:tcPr>
          <w:p w14:paraId="4CDCFC40">
            <w:pPr>
              <w:rPr>
                <w:rFonts w:ascii="Arial"/>
              </w:rPr>
            </w:pPr>
          </w:p>
        </w:tc>
        <w:tc>
          <w:tcPr>
            <w:tcW w:w="1910" w:type="dxa"/>
          </w:tcPr>
          <w:p w14:paraId="386764BD">
            <w:pPr>
              <w:pStyle w:val="19"/>
              <w:spacing w:before="178" w:line="228" w:lineRule="auto"/>
              <w:ind w:left="234"/>
            </w:pPr>
            <w:r>
              <w:rPr>
                <w:spacing w:val="7"/>
              </w:rPr>
              <w:t>收件人单位名称</w:t>
            </w:r>
          </w:p>
        </w:tc>
        <w:tc>
          <w:tcPr>
            <w:tcW w:w="2178" w:type="dxa"/>
          </w:tcPr>
          <w:p w14:paraId="03B01A32">
            <w:pPr>
              <w:rPr>
                <w:rFonts w:ascii="Arial"/>
              </w:rPr>
            </w:pPr>
          </w:p>
        </w:tc>
      </w:tr>
      <w:tr w14:paraId="78BC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6" w:type="dxa"/>
          </w:tcPr>
          <w:p w14:paraId="66DEDC84">
            <w:pPr>
              <w:pStyle w:val="19"/>
              <w:spacing w:before="176" w:line="231" w:lineRule="auto"/>
              <w:ind w:left="643"/>
            </w:pPr>
            <w:r>
              <w:rPr>
                <w:spacing w:val="6"/>
              </w:rPr>
              <w:t>联系人</w:t>
            </w:r>
          </w:p>
        </w:tc>
        <w:tc>
          <w:tcPr>
            <w:tcW w:w="3022" w:type="dxa"/>
          </w:tcPr>
          <w:p w14:paraId="10D8FC0B">
            <w:pPr>
              <w:rPr>
                <w:rFonts w:ascii="Arial"/>
              </w:rPr>
            </w:pPr>
          </w:p>
        </w:tc>
        <w:tc>
          <w:tcPr>
            <w:tcW w:w="1910" w:type="dxa"/>
          </w:tcPr>
          <w:p w14:paraId="07D79A1C">
            <w:pPr>
              <w:pStyle w:val="19"/>
              <w:spacing w:before="176" w:line="231" w:lineRule="auto"/>
              <w:ind w:left="541"/>
            </w:pPr>
            <w:r>
              <w:rPr>
                <w:spacing w:val="7"/>
              </w:rPr>
              <w:t>联系电话</w:t>
            </w:r>
          </w:p>
        </w:tc>
        <w:tc>
          <w:tcPr>
            <w:tcW w:w="2178" w:type="dxa"/>
          </w:tcPr>
          <w:p w14:paraId="36F7EE40">
            <w:pPr>
              <w:rPr>
                <w:rFonts w:ascii="Arial"/>
              </w:rPr>
            </w:pPr>
          </w:p>
        </w:tc>
      </w:tr>
    </w:tbl>
    <w:p w14:paraId="79B6BCA0">
      <w:pPr>
        <w:spacing w:before="174" w:line="228" w:lineRule="auto"/>
        <w:ind w:firstLine="440" w:firstLineChars="200"/>
        <w:rPr>
          <w:rFonts w:ascii="宋体" w:hAnsi="宋体" w:cs="宋体"/>
          <w:spacing w:val="9"/>
          <w:sz w:val="20"/>
          <w:szCs w:val="20"/>
        </w:rPr>
      </w:pPr>
      <w:r>
        <w:rPr>
          <w:rFonts w:ascii="宋体" w:hAnsi="宋体" w:cs="宋体"/>
          <w:spacing w:val="10"/>
          <w:sz w:val="20"/>
          <w:szCs w:val="20"/>
        </w:rPr>
        <w:t>我公司承诺上述资料是真实正确的，并愿承担如因上</w:t>
      </w:r>
      <w:r>
        <w:rPr>
          <w:rFonts w:ascii="宋体" w:hAnsi="宋体" w:cs="宋体"/>
          <w:spacing w:val="9"/>
          <w:sz w:val="20"/>
          <w:szCs w:val="20"/>
        </w:rPr>
        <w:t>述资料填写错误而导致的一切经济损失及法律责任。</w:t>
      </w:r>
    </w:p>
    <w:p w14:paraId="438307B0">
      <w:pPr>
        <w:spacing w:before="174" w:line="228" w:lineRule="auto"/>
        <w:ind w:left="121"/>
        <w:rPr>
          <w:rFonts w:ascii="宋体" w:hAnsi="宋体" w:cs="宋体"/>
          <w:spacing w:val="9"/>
          <w:sz w:val="20"/>
          <w:szCs w:val="20"/>
        </w:rPr>
      </w:pPr>
    </w:p>
    <w:p w14:paraId="31A2F554">
      <w:pPr>
        <w:spacing w:before="66" w:line="228" w:lineRule="auto"/>
        <w:ind w:left="122"/>
        <w:rPr>
          <w:rFonts w:ascii="宋体" w:hAnsi="宋体" w:cs="宋体"/>
          <w:sz w:val="20"/>
          <w:szCs w:val="20"/>
        </w:rPr>
      </w:pPr>
      <w:r>
        <w:rPr>
          <w:rFonts w:ascii="宋体" w:hAnsi="宋体" w:cs="宋体"/>
          <w:spacing w:val="8"/>
          <w:sz w:val="20"/>
          <w:szCs w:val="20"/>
        </w:rPr>
        <w:t>投标人名称（公章</w:t>
      </w:r>
      <w:r>
        <w:rPr>
          <w:rFonts w:ascii="宋体" w:hAnsi="宋体" w:cs="宋体"/>
          <w:spacing w:val="-53"/>
          <w:sz w:val="20"/>
          <w:szCs w:val="20"/>
        </w:rPr>
        <w:t>）</w:t>
      </w:r>
      <w:r>
        <w:rPr>
          <w:rFonts w:hint="eastAsia" w:ascii="宋体" w:hAnsi="宋体" w:cs="宋体"/>
          <w:spacing w:val="-53"/>
          <w:sz w:val="20"/>
          <w:szCs w:val="20"/>
        </w:rPr>
        <w:t>：</w:t>
      </w:r>
    </w:p>
    <w:p w14:paraId="5C5C20F6">
      <w:pPr>
        <w:spacing w:before="195" w:line="228" w:lineRule="auto"/>
        <w:ind w:left="118"/>
        <w:outlineLvl w:val="1"/>
        <w:rPr>
          <w:rFonts w:ascii="宋体" w:hAnsi="宋体" w:cs="宋体"/>
          <w:sz w:val="20"/>
          <w:szCs w:val="20"/>
        </w:rPr>
      </w:pPr>
      <w:r>
        <w:rPr>
          <w:rFonts w:ascii="宋体" w:hAnsi="宋体" w:cs="宋体"/>
          <w:spacing w:val="8"/>
          <w:sz w:val="20"/>
          <w:szCs w:val="20"/>
        </w:rPr>
        <w:t>授权代表（签字</w:t>
      </w:r>
      <w:r>
        <w:rPr>
          <w:rFonts w:ascii="宋体" w:hAnsi="宋体" w:cs="宋体"/>
          <w:spacing w:val="-52"/>
          <w:sz w:val="20"/>
          <w:szCs w:val="20"/>
        </w:rPr>
        <w:t>）：</w:t>
      </w:r>
    </w:p>
    <w:p w14:paraId="5B1DE6D9">
      <w:pPr>
        <w:spacing w:before="192" w:line="229" w:lineRule="auto"/>
        <w:ind w:left="155"/>
      </w:pPr>
      <w:r>
        <w:rPr>
          <w:rFonts w:ascii="宋体" w:hAnsi="宋体" w:cs="宋体"/>
          <w:spacing w:val="-9"/>
          <w:sz w:val="20"/>
          <w:szCs w:val="20"/>
        </w:rPr>
        <w:t>日期</w:t>
      </w:r>
      <w:r>
        <w:rPr>
          <w:rFonts w:hint="eastAsia" w:ascii="宋体" w:hAnsi="宋体" w:cs="宋体"/>
          <w:spacing w:val="-9"/>
          <w:sz w:val="20"/>
          <w:szCs w:val="20"/>
        </w:rPr>
        <w:t>：</w:t>
      </w:r>
    </w:p>
    <w:p w14:paraId="7361DF5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618D">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1FBA9">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0831FBA9">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A21C1">
    <w:pPr>
      <w:pStyle w:val="9"/>
      <w:framePr w:wrap="around" w:vAnchor="text" w:hAnchor="margin" w:xAlign="center" w:y="1"/>
      <w:rPr>
        <w:rStyle w:val="16"/>
      </w:rPr>
    </w:pPr>
    <w:r>
      <w:fldChar w:fldCharType="begin"/>
    </w:r>
    <w:r>
      <w:rPr>
        <w:rStyle w:val="16"/>
      </w:rPr>
      <w:instrText xml:space="preserve">PAGE  </w:instrText>
    </w:r>
    <w:r>
      <w:fldChar w:fldCharType="end"/>
    </w:r>
  </w:p>
  <w:p w14:paraId="08A215F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5F6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3741AC">
                          <w:pPr>
                            <w:pStyle w:val="9"/>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53741AC">
                    <w:pPr>
                      <w:pStyle w:val="9"/>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3C"/>
    <w:rsid w:val="000E7CBC"/>
    <w:rsid w:val="00212AB9"/>
    <w:rsid w:val="00274DA6"/>
    <w:rsid w:val="00323B3A"/>
    <w:rsid w:val="003B7F8A"/>
    <w:rsid w:val="005F63E0"/>
    <w:rsid w:val="00A10F3C"/>
    <w:rsid w:val="00AE66D0"/>
    <w:rsid w:val="00AF47B9"/>
    <w:rsid w:val="00B663F4"/>
    <w:rsid w:val="00D0254E"/>
    <w:rsid w:val="00E94B2A"/>
    <w:rsid w:val="021B00A7"/>
    <w:rsid w:val="02783976"/>
    <w:rsid w:val="06737A74"/>
    <w:rsid w:val="07593D76"/>
    <w:rsid w:val="080E12FE"/>
    <w:rsid w:val="093A7BD7"/>
    <w:rsid w:val="09D27E0F"/>
    <w:rsid w:val="0C144D2E"/>
    <w:rsid w:val="0CAC2B9A"/>
    <w:rsid w:val="0D2E5783"/>
    <w:rsid w:val="0D806645"/>
    <w:rsid w:val="0EE83C31"/>
    <w:rsid w:val="0EEF3211"/>
    <w:rsid w:val="10957F70"/>
    <w:rsid w:val="11765524"/>
    <w:rsid w:val="11812847"/>
    <w:rsid w:val="12274A70"/>
    <w:rsid w:val="131E2317"/>
    <w:rsid w:val="14353475"/>
    <w:rsid w:val="17B225CF"/>
    <w:rsid w:val="17B60D70"/>
    <w:rsid w:val="183E1EA2"/>
    <w:rsid w:val="18805BBD"/>
    <w:rsid w:val="19393A07"/>
    <w:rsid w:val="1B325AA9"/>
    <w:rsid w:val="1BFF195A"/>
    <w:rsid w:val="1C5D17BA"/>
    <w:rsid w:val="1D7E6416"/>
    <w:rsid w:val="1E403142"/>
    <w:rsid w:val="1E6F3A27"/>
    <w:rsid w:val="2020322B"/>
    <w:rsid w:val="20DD4727"/>
    <w:rsid w:val="21BC02C5"/>
    <w:rsid w:val="23843AD1"/>
    <w:rsid w:val="25545725"/>
    <w:rsid w:val="26902868"/>
    <w:rsid w:val="26E31456"/>
    <w:rsid w:val="27FA6A57"/>
    <w:rsid w:val="286A1C93"/>
    <w:rsid w:val="29265665"/>
    <w:rsid w:val="2DF16206"/>
    <w:rsid w:val="2E4B0101"/>
    <w:rsid w:val="2F77098D"/>
    <w:rsid w:val="2FA86D99"/>
    <w:rsid w:val="31CC3212"/>
    <w:rsid w:val="31F732AA"/>
    <w:rsid w:val="321634E1"/>
    <w:rsid w:val="33E12879"/>
    <w:rsid w:val="3518051D"/>
    <w:rsid w:val="35327D21"/>
    <w:rsid w:val="36D6579C"/>
    <w:rsid w:val="37353608"/>
    <w:rsid w:val="374E46CA"/>
    <w:rsid w:val="37D7646D"/>
    <w:rsid w:val="389F2D79"/>
    <w:rsid w:val="399A59A4"/>
    <w:rsid w:val="39A20CFD"/>
    <w:rsid w:val="3A0D261A"/>
    <w:rsid w:val="3BA42B0A"/>
    <w:rsid w:val="3D0C6BB9"/>
    <w:rsid w:val="3E524A9F"/>
    <w:rsid w:val="3EAC4F55"/>
    <w:rsid w:val="3FEA0D08"/>
    <w:rsid w:val="4010076E"/>
    <w:rsid w:val="40E15760"/>
    <w:rsid w:val="41202C33"/>
    <w:rsid w:val="417F3A7E"/>
    <w:rsid w:val="41E9396D"/>
    <w:rsid w:val="41EA3241"/>
    <w:rsid w:val="42A41642"/>
    <w:rsid w:val="43326C4D"/>
    <w:rsid w:val="44E97F1E"/>
    <w:rsid w:val="4517259F"/>
    <w:rsid w:val="458A0FC3"/>
    <w:rsid w:val="467F664E"/>
    <w:rsid w:val="47543636"/>
    <w:rsid w:val="490C1CEF"/>
    <w:rsid w:val="49DE18DD"/>
    <w:rsid w:val="4A4A0D21"/>
    <w:rsid w:val="4A5120AF"/>
    <w:rsid w:val="4AD24F05"/>
    <w:rsid w:val="4B9F509C"/>
    <w:rsid w:val="4CE23492"/>
    <w:rsid w:val="4D096C71"/>
    <w:rsid w:val="4D6A640E"/>
    <w:rsid w:val="4D7230F1"/>
    <w:rsid w:val="4DBC03F5"/>
    <w:rsid w:val="4EA84268"/>
    <w:rsid w:val="4EE74D90"/>
    <w:rsid w:val="511E6A63"/>
    <w:rsid w:val="52522E68"/>
    <w:rsid w:val="52B83749"/>
    <w:rsid w:val="55741347"/>
    <w:rsid w:val="56B22127"/>
    <w:rsid w:val="57AA1051"/>
    <w:rsid w:val="57B466A7"/>
    <w:rsid w:val="57C40364"/>
    <w:rsid w:val="57D729D1"/>
    <w:rsid w:val="580C1331"/>
    <w:rsid w:val="59A815C0"/>
    <w:rsid w:val="59D402A6"/>
    <w:rsid w:val="5BC85F49"/>
    <w:rsid w:val="5ED82947"/>
    <w:rsid w:val="60A23012"/>
    <w:rsid w:val="6145202F"/>
    <w:rsid w:val="61897F29"/>
    <w:rsid w:val="622639C9"/>
    <w:rsid w:val="623E6F65"/>
    <w:rsid w:val="62631B9F"/>
    <w:rsid w:val="629D1A07"/>
    <w:rsid w:val="63D60682"/>
    <w:rsid w:val="6461518D"/>
    <w:rsid w:val="66EB5698"/>
    <w:rsid w:val="688558EE"/>
    <w:rsid w:val="6A6E4160"/>
    <w:rsid w:val="6DCF77E6"/>
    <w:rsid w:val="6FBB3BC8"/>
    <w:rsid w:val="712612F0"/>
    <w:rsid w:val="72071122"/>
    <w:rsid w:val="72B017B9"/>
    <w:rsid w:val="74376DB2"/>
    <w:rsid w:val="745A4DE4"/>
    <w:rsid w:val="746C1710"/>
    <w:rsid w:val="74A272B7"/>
    <w:rsid w:val="751425A0"/>
    <w:rsid w:val="77D01FB6"/>
    <w:rsid w:val="7A1C7734"/>
    <w:rsid w:val="7C815F74"/>
    <w:rsid w:val="7C99506C"/>
    <w:rsid w:val="7D8950E1"/>
    <w:rsid w:val="7DDD592B"/>
    <w:rsid w:val="7E775E84"/>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3">
    <w:name w:val="annotation text"/>
    <w:basedOn w:val="1"/>
    <w:link w:val="24"/>
    <w:qFormat/>
    <w:uiPriority w:val="0"/>
    <w:pPr>
      <w:jc w:val="left"/>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List 2"/>
    <w:basedOn w:val="1"/>
    <w:qFormat/>
    <w:uiPriority w:val="0"/>
    <w:pPr>
      <w:ind w:left="100" w:leftChars="200" w:hanging="200" w:hangingChars="200"/>
    </w:pPr>
  </w:style>
  <w:style w:type="paragraph" w:styleId="7">
    <w:name w:val="Plain Text"/>
    <w:basedOn w:val="1"/>
    <w:qFormat/>
    <w:uiPriority w:val="99"/>
    <w:rPr>
      <w:rFonts w:ascii="宋体" w:hAnsi="Courier New" w:cs="Courier New"/>
      <w:szCs w:val="21"/>
    </w:rPr>
  </w:style>
  <w:style w:type="paragraph" w:styleId="8">
    <w:name w:val="Balloon Text"/>
    <w:basedOn w:val="1"/>
    <w:link w:val="23"/>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annotation subject"/>
    <w:basedOn w:val="3"/>
    <w:next w:val="3"/>
    <w:link w:val="25"/>
    <w:qFormat/>
    <w:uiPriority w:val="0"/>
    <w:rPr>
      <w:b/>
      <w:bCs/>
    </w:rPr>
  </w:style>
  <w:style w:type="paragraph" w:styleId="12">
    <w:name w:val="Body Text First Indent 2"/>
    <w:basedOn w:val="4"/>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cs="Times New Roman"/>
    </w:rPr>
  </w:style>
  <w:style w:type="character" w:styleId="17">
    <w:name w:val="annotation reference"/>
    <w:basedOn w:val="15"/>
    <w:qFormat/>
    <w:uiPriority w:val="0"/>
    <w:rPr>
      <w:sz w:val="21"/>
      <w:szCs w:val="21"/>
    </w:rPr>
  </w:style>
  <w:style w:type="paragraph" w:customStyle="1" w:styleId="18">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9">
    <w:name w:val="Table Text"/>
    <w:basedOn w:val="1"/>
    <w:semiHidden/>
    <w:qFormat/>
    <w:uiPriority w:val="0"/>
    <w:rPr>
      <w:rFonts w:ascii="宋体" w:hAnsi="宋体" w:cs="宋体"/>
      <w:sz w:val="24"/>
      <w:lang w:eastAsia="en-US"/>
    </w:rPr>
  </w:style>
  <w:style w:type="paragraph" w:customStyle="1" w:styleId="20">
    <w:name w:val="列出段落1"/>
    <w:basedOn w:val="1"/>
    <w:qFormat/>
    <w:uiPriority w:val="34"/>
    <w:pPr>
      <w:suppressAutoHyphens/>
      <w:spacing w:before="156" w:after="156" w:line="360" w:lineRule="auto"/>
      <w:ind w:firstLine="420"/>
    </w:pPr>
    <w:rPr>
      <w:rFonts w:ascii="Calibri" w:hAnsi="Calibri" w:cs="Calibri"/>
      <w:kern w:val="1"/>
      <w:lang w:eastAsia="ar-SA"/>
    </w:rPr>
  </w:style>
  <w:style w:type="character" w:customStyle="1" w:styleId="21">
    <w:name w:val="本文正文 Char1 Char Char Char Char Char Char Char Char Char Char Char Char Char Char Char Char Char Char Char Char Char Char Char Char Char Char"/>
    <w:link w:val="22"/>
    <w:qFormat/>
    <w:uiPriority w:val="0"/>
    <w:rPr>
      <w:rFonts w:ascii="宋体" w:hAnsi="宋体" w:eastAsia="宋体" w:cs="Times New Roman"/>
      <w:kern w:val="0"/>
      <w:sz w:val="24"/>
      <w:szCs w:val="24"/>
    </w:rPr>
  </w:style>
  <w:style w:type="paragraph" w:customStyle="1" w:styleId="22">
    <w:name w:val="本文正文 Char1 Char Char Char Char Char Char Char Char Char Char Char Char Char Char Char Char Char Char Char Char Char Char Char Char"/>
    <w:basedOn w:val="1"/>
    <w:link w:val="21"/>
    <w:qFormat/>
    <w:uiPriority w:val="0"/>
    <w:pPr>
      <w:widowControl/>
      <w:spacing w:line="480" w:lineRule="exact"/>
      <w:ind w:firstLine="200" w:firstLineChars="200"/>
      <w:jc w:val="left"/>
    </w:pPr>
    <w:rPr>
      <w:rFonts w:ascii="宋体" w:hAnsi="宋体"/>
      <w:kern w:val="0"/>
      <w:sz w:val="24"/>
    </w:rPr>
  </w:style>
  <w:style w:type="character" w:customStyle="1" w:styleId="23">
    <w:name w:val="批注框文本 字符"/>
    <w:basedOn w:val="15"/>
    <w:link w:val="8"/>
    <w:qFormat/>
    <w:uiPriority w:val="0"/>
    <w:rPr>
      <w:kern w:val="2"/>
      <w:sz w:val="18"/>
      <w:szCs w:val="18"/>
    </w:rPr>
  </w:style>
  <w:style w:type="character" w:customStyle="1" w:styleId="24">
    <w:name w:val="批注文字 字符"/>
    <w:basedOn w:val="15"/>
    <w:link w:val="3"/>
    <w:qFormat/>
    <w:uiPriority w:val="0"/>
    <w:rPr>
      <w:kern w:val="2"/>
      <w:sz w:val="21"/>
      <w:szCs w:val="24"/>
    </w:rPr>
  </w:style>
  <w:style w:type="character" w:customStyle="1" w:styleId="25">
    <w:name w:val="批注主题 字符"/>
    <w:basedOn w:val="24"/>
    <w:link w:val="11"/>
    <w:qFormat/>
    <w:uiPriority w:val="0"/>
    <w:rPr>
      <w:b/>
      <w:bCs/>
      <w:kern w:val="2"/>
      <w:sz w:val="21"/>
      <w:szCs w:val="24"/>
    </w:rPr>
  </w:style>
  <w:style w:type="paragraph" w:styleId="2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10645</Words>
  <Characters>11250</Characters>
  <Lines>172</Lines>
  <Paragraphs>48</Paragraphs>
  <TotalTime>2</TotalTime>
  <ScaleCrop>false</ScaleCrop>
  <LinksUpToDate>false</LinksUpToDate>
  <CharactersWithSpaces>11897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2025-10-20T11:37:00Z</dcterms:created>
  <dc:creator>范范</dc:creator>
  <cp:lastModifiedBy>CG</cp:lastModifiedBy>
  <cp:lastPrinted>2025-08-12T07:57:00Z</cp:lastPrinted>
  <dcterms:modified xsi:type="dcterms:W3CDTF">2025-10-23T07:20:54Z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eyJoZGlkIjoiYmQ2NzEwNmM2MzBiYjZhNDUxNjllNDM3MzhjNjY0ZjgiLCJ1c2VySWQiOiI4MTU2NDk3NzUifQ==</vt:lpwstr>
  </property>
  <property fmtid="{D5CDD505-2E9C-101B-9397-08002B2CF9AE}" pid="4" name="ICV">
    <vt:lpwstr>490C47F8D4B74DC4932E1ADBA61A8391_13</vt:lpwstr>
  </property>
</Properties>
</file>